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629"/>
        <w:gridCol w:w="723"/>
        <w:gridCol w:w="146"/>
        <w:gridCol w:w="409"/>
        <w:gridCol w:w="153"/>
        <w:gridCol w:w="185"/>
        <w:gridCol w:w="377"/>
        <w:gridCol w:w="548"/>
        <w:gridCol w:w="15"/>
        <w:gridCol w:w="266"/>
        <w:gridCol w:w="295"/>
        <w:gridCol w:w="350"/>
        <w:gridCol w:w="213"/>
        <w:gridCol w:w="544"/>
        <w:gridCol w:w="98"/>
        <w:gridCol w:w="469"/>
        <w:gridCol w:w="567"/>
        <w:gridCol w:w="559"/>
        <w:gridCol w:w="12"/>
        <w:gridCol w:w="315"/>
        <w:gridCol w:w="248"/>
        <w:gridCol w:w="564"/>
        <w:gridCol w:w="1421"/>
      </w:tblGrid>
      <w:tr w:rsidR="006A701A" w:rsidRPr="005A2E3E" w:rsidTr="007602B8">
        <w:trPr>
          <w:trHeight w:val="1611"/>
        </w:trPr>
        <w:tc>
          <w:tcPr>
            <w:tcW w:w="6506" w:type="dxa"/>
            <w:gridSpan w:val="16"/>
          </w:tcPr>
          <w:p w:rsidR="006A701A" w:rsidRPr="005A2E3E" w:rsidRDefault="006A701A" w:rsidP="0065366E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</w:rPr>
            </w:pPr>
            <w:bookmarkStart w:id="0" w:name="t1"/>
            <w:r w:rsidRPr="005A2E3E">
              <w:rPr>
                <w:rFonts w:ascii="Times New Roman" w:hAnsi="Times New Roman"/>
                <w:b/>
              </w:rPr>
              <w:t xml:space="preserve">Nazwa </w:t>
            </w:r>
            <w:r w:rsidR="001B75D8" w:rsidRPr="005A2E3E">
              <w:rPr>
                <w:rFonts w:ascii="Times New Roman" w:hAnsi="Times New Roman"/>
                <w:b/>
              </w:rPr>
              <w:t>projektu</w:t>
            </w:r>
            <w:r w:rsidR="00613B0A" w:rsidRPr="005A2E3E">
              <w:rPr>
                <w:rFonts w:ascii="Times New Roman" w:hAnsi="Times New Roman"/>
                <w:b/>
              </w:rPr>
              <w:t>:</w:t>
            </w:r>
          </w:p>
          <w:p w:rsidR="00AC57F0" w:rsidRPr="005A2E3E" w:rsidRDefault="00AC0BB8" w:rsidP="00613B0A">
            <w:pPr>
              <w:spacing w:line="240" w:lineRule="auto"/>
              <w:ind w:left="34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5A2E3E">
              <w:rPr>
                <w:rFonts w:ascii="Times New Roman" w:hAnsi="Times New Roman"/>
              </w:rPr>
              <w:t>Projekt</w:t>
            </w:r>
            <w:r w:rsidR="00AC57F0" w:rsidRPr="005A2E3E">
              <w:rPr>
                <w:rFonts w:ascii="Times New Roman" w:hAnsi="Times New Roman"/>
              </w:rPr>
              <w:t xml:space="preserve"> </w:t>
            </w:r>
            <w:r w:rsidR="0028256B"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rozporządzenia Ministra Spraw Wewnętrznych i Administracji </w:t>
            </w:r>
            <w:r w:rsidR="008F50D8"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zmieniające</w:t>
            </w:r>
            <w:r w:rsidR="000222F4"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go</w:t>
            </w:r>
            <w:r w:rsidR="008F50D8"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rozporządzenie w sprawie szczegółowych zasad otrzymywania i wysokości uposażenia zasadniczego policjantów, dodatków do uposażenia oraz ustalania wysługi lat, od której jest uzależniony wzrost uposażenia zasadniczego</w:t>
            </w:r>
          </w:p>
          <w:bookmarkEnd w:id="0"/>
          <w:p w:rsidR="0065366E" w:rsidRPr="005A2E3E" w:rsidRDefault="0065366E" w:rsidP="0065366E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Ministerstwo wiodące i ministerstwa współpracujące</w:t>
            </w:r>
            <w:r w:rsidR="00613B0A" w:rsidRPr="005A2E3E">
              <w:rPr>
                <w:rFonts w:ascii="Times New Roman" w:hAnsi="Times New Roman"/>
                <w:b/>
              </w:rPr>
              <w:t>:</w:t>
            </w:r>
          </w:p>
          <w:p w:rsidR="0065366E" w:rsidRPr="005A2E3E" w:rsidRDefault="0065366E" w:rsidP="0065366E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Ministerstwo Spraw Wewnętrznych i Administracji </w:t>
            </w:r>
          </w:p>
          <w:p w:rsidR="0065366E" w:rsidRPr="005A2E3E" w:rsidRDefault="0024616D" w:rsidP="00251E03">
            <w:pPr>
              <w:spacing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Ministerstwo Rodziny i Polityki </w:t>
            </w:r>
            <w:r w:rsidRPr="005A2E3E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Społecznej</w:t>
            </w:r>
          </w:p>
          <w:p w:rsidR="0065366E" w:rsidRPr="005A2E3E" w:rsidRDefault="0065366E" w:rsidP="00251E03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Osoba odpowiedzialna za projekt w randze Ministra, Sekretarz</w:t>
            </w:r>
            <w:r w:rsidR="00613B0A" w:rsidRPr="005A2E3E">
              <w:rPr>
                <w:rFonts w:ascii="Times New Roman" w:hAnsi="Times New Roman"/>
                <w:b/>
              </w:rPr>
              <w:t>a Stanu lub Podsekretarza Stanu:</w:t>
            </w:r>
          </w:p>
          <w:p w:rsidR="0065366E" w:rsidRPr="005A2E3E" w:rsidRDefault="000405AF" w:rsidP="00251E03">
            <w:pPr>
              <w:pStyle w:val="Nagwek2"/>
              <w:spacing w:before="0" w:beforeAutospacing="0" w:after="0" w:afterAutospacing="0"/>
              <w:ind w:left="34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………………………………….</w:t>
            </w:r>
          </w:p>
          <w:p w:rsidR="0065366E" w:rsidRPr="005A2E3E" w:rsidRDefault="0065366E" w:rsidP="0065366E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Kontakt do opiekuna merytorycznego projektu</w:t>
            </w:r>
            <w:r w:rsidR="00613B0A" w:rsidRPr="005A2E3E">
              <w:rPr>
                <w:rFonts w:ascii="Times New Roman" w:hAnsi="Times New Roman"/>
                <w:b/>
              </w:rPr>
              <w:t>:</w:t>
            </w:r>
          </w:p>
          <w:p w:rsidR="00BE51A3" w:rsidRPr="005A2E3E" w:rsidRDefault="00DF148F" w:rsidP="005A2E3E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Pani Magdalena Świderska - </w:t>
            </w:r>
            <w:r w:rsidR="00BE51A3" w:rsidRPr="005A2E3E">
              <w:rPr>
                <w:rFonts w:ascii="Times New Roman" w:hAnsi="Times New Roman"/>
              </w:rPr>
              <w:t xml:space="preserve">Dyrektor </w:t>
            </w:r>
            <w:r w:rsidRPr="005A2E3E">
              <w:rPr>
                <w:rFonts w:ascii="Times New Roman" w:hAnsi="Times New Roman"/>
              </w:rPr>
              <w:t>Biura Finansów KGP</w:t>
            </w:r>
          </w:p>
          <w:p w:rsidR="00604559" w:rsidRPr="005A2E3E" w:rsidRDefault="00BE51A3" w:rsidP="005A2E3E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tel. 22 60</w:t>
            </w:r>
            <w:r w:rsidR="005A2E3E">
              <w:rPr>
                <w:rFonts w:ascii="Times New Roman" w:hAnsi="Times New Roman"/>
              </w:rPr>
              <w:t> </w:t>
            </w:r>
            <w:r w:rsidR="00DF148F" w:rsidRPr="005A2E3E">
              <w:rPr>
                <w:rFonts w:ascii="Times New Roman" w:hAnsi="Times New Roman"/>
              </w:rPr>
              <w:t>116</w:t>
            </w:r>
            <w:r w:rsidR="005A2E3E">
              <w:rPr>
                <w:rFonts w:ascii="Times New Roman" w:hAnsi="Times New Roman"/>
              </w:rPr>
              <w:t>-</w:t>
            </w:r>
            <w:r w:rsidR="00DF148F" w:rsidRPr="005A2E3E">
              <w:rPr>
                <w:rFonts w:ascii="Times New Roman" w:hAnsi="Times New Roman"/>
              </w:rPr>
              <w:t>08</w:t>
            </w:r>
            <w:r w:rsidRPr="005A2E3E">
              <w:rPr>
                <w:rFonts w:ascii="Times New Roman" w:hAnsi="Times New Roman"/>
              </w:rPr>
              <w:t xml:space="preserve">, e-mail: </w:t>
            </w:r>
            <w:r w:rsidR="002A2E38" w:rsidRPr="005A2E3E">
              <w:rPr>
                <w:rFonts w:ascii="Times New Roman" w:hAnsi="Times New Roman"/>
              </w:rPr>
              <w:t>sekbf@policja.gov.pl</w:t>
            </w:r>
          </w:p>
          <w:p w:rsidR="005A2E3E" w:rsidRPr="005A2E3E" w:rsidRDefault="005A2E3E" w:rsidP="005A2E3E">
            <w:pPr>
              <w:spacing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155" w:type="dxa"/>
            <w:gridSpan w:val="8"/>
            <w:shd w:val="clear" w:color="auto" w:fill="FFFFFF"/>
          </w:tcPr>
          <w:p w:rsidR="000A7A53" w:rsidRPr="005A2E3E" w:rsidRDefault="000A7A53" w:rsidP="001B3460">
            <w:pPr>
              <w:spacing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003DC5" w:rsidRPr="005A2E3E" w:rsidRDefault="001B3460" w:rsidP="001B3460">
            <w:pPr>
              <w:spacing w:line="240" w:lineRule="auto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  <w:b/>
              </w:rPr>
              <w:t>Data sporządzenia</w:t>
            </w:r>
            <w:r w:rsidR="00D32EEB" w:rsidRPr="005A2E3E">
              <w:rPr>
                <w:rFonts w:ascii="Times New Roman" w:hAnsi="Times New Roman"/>
                <w:b/>
              </w:rPr>
              <w:t>:</w:t>
            </w:r>
          </w:p>
          <w:p w:rsidR="001B3460" w:rsidRPr="005A2E3E" w:rsidRDefault="000405AF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30 stycznia</w:t>
            </w:r>
            <w:r w:rsidR="008F50D8" w:rsidRPr="005A2E3E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  <w:r w:rsidR="008F50D8" w:rsidRPr="005A2E3E">
              <w:rPr>
                <w:rFonts w:ascii="Times New Roman" w:hAnsi="Times New Roman"/>
              </w:rPr>
              <w:t xml:space="preserve"> r.</w:t>
            </w:r>
          </w:p>
          <w:p w:rsidR="00F76884" w:rsidRPr="005A2E3E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884" w:rsidRPr="005A2E3E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:rsidR="00F517F7" w:rsidRPr="005A2E3E" w:rsidRDefault="00251E03" w:rsidP="00251E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Art. 101 ust. 2, art. 102 i art. 104 ust. 6 ustawy </w:t>
            </w:r>
            <w:r w:rsidR="00243052" w:rsidRPr="005A2E3E">
              <w:rPr>
                <w:rFonts w:ascii="Times New Roman" w:hAnsi="Times New Roman"/>
              </w:rPr>
              <w:t>z dnia 6 kwietnia 1990 r. o Policji (Dz. U. z 20</w:t>
            </w:r>
            <w:r w:rsidR="00396B09" w:rsidRPr="005A2E3E">
              <w:rPr>
                <w:rFonts w:ascii="Times New Roman" w:hAnsi="Times New Roman"/>
              </w:rPr>
              <w:t>2</w:t>
            </w:r>
            <w:r w:rsidR="008F50D8" w:rsidRPr="005A2E3E">
              <w:rPr>
                <w:rFonts w:ascii="Times New Roman" w:hAnsi="Times New Roman"/>
              </w:rPr>
              <w:t>1</w:t>
            </w:r>
            <w:r w:rsidR="00243052" w:rsidRPr="005A2E3E">
              <w:rPr>
                <w:rFonts w:ascii="Times New Roman" w:hAnsi="Times New Roman"/>
              </w:rPr>
              <w:t xml:space="preserve"> r. poz. </w:t>
            </w:r>
            <w:r w:rsidR="008F50D8" w:rsidRPr="005A2E3E">
              <w:rPr>
                <w:rFonts w:ascii="Times New Roman" w:hAnsi="Times New Roman"/>
              </w:rPr>
              <w:t>1882</w:t>
            </w:r>
            <w:r w:rsidR="005C6220" w:rsidRPr="005A2E3E">
              <w:rPr>
                <w:rFonts w:ascii="Times New Roman" w:hAnsi="Times New Roman"/>
              </w:rPr>
              <w:t>,</w:t>
            </w:r>
            <w:r w:rsidR="006F2206" w:rsidRPr="005A2E3E">
              <w:rPr>
                <w:rFonts w:ascii="Times New Roman" w:hAnsi="Times New Roman"/>
              </w:rPr>
              <w:t xml:space="preserve"> z późn. zm.</w:t>
            </w:r>
            <w:r w:rsidR="00243052" w:rsidRPr="005A2E3E">
              <w:rPr>
                <w:rFonts w:ascii="Times New Roman" w:hAnsi="Times New Roman"/>
              </w:rPr>
              <w:t>)</w:t>
            </w:r>
            <w:r w:rsidR="00F517F7" w:rsidRPr="005A2E3E">
              <w:rPr>
                <w:rFonts w:ascii="Times New Roman" w:hAnsi="Times New Roman"/>
              </w:rPr>
              <w:br/>
            </w:r>
          </w:p>
          <w:p w:rsidR="006A701A" w:rsidRPr="005A2E3E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 xml:space="preserve">Nr </w:t>
            </w:r>
            <w:r w:rsidR="0057668E" w:rsidRPr="005A2E3E">
              <w:rPr>
                <w:rFonts w:ascii="Times New Roman" w:hAnsi="Times New Roman"/>
                <w:b/>
              </w:rPr>
              <w:t>w</w:t>
            </w:r>
            <w:r w:rsidRPr="005A2E3E">
              <w:rPr>
                <w:rFonts w:ascii="Times New Roman" w:hAnsi="Times New Roman"/>
                <w:b/>
              </w:rPr>
              <w:t xml:space="preserve"> wykaz</w:t>
            </w:r>
            <w:r w:rsidR="0057668E" w:rsidRPr="005A2E3E">
              <w:rPr>
                <w:rFonts w:ascii="Times New Roman" w:hAnsi="Times New Roman"/>
                <w:b/>
              </w:rPr>
              <w:t>ie</w:t>
            </w:r>
            <w:r w:rsidRPr="005A2E3E">
              <w:rPr>
                <w:rFonts w:ascii="Times New Roman" w:hAnsi="Times New Roman"/>
                <w:b/>
              </w:rPr>
              <w:t xml:space="preserve"> prac</w:t>
            </w:r>
            <w:r w:rsidR="004E7EB7" w:rsidRPr="005A2E3E">
              <w:rPr>
                <w:rFonts w:ascii="Times New Roman" w:hAnsi="Times New Roman"/>
                <w:b/>
              </w:rPr>
              <w:t>:</w:t>
            </w:r>
            <w:r w:rsidRPr="005A2E3E">
              <w:rPr>
                <w:rFonts w:ascii="Times New Roman" w:hAnsi="Times New Roman"/>
                <w:b/>
              </w:rPr>
              <w:t xml:space="preserve"> </w:t>
            </w:r>
            <w:r w:rsidR="00DF148F" w:rsidRPr="005A2E3E">
              <w:rPr>
                <w:rFonts w:ascii="Times New Roman" w:hAnsi="Times New Roman"/>
                <w:b/>
              </w:rPr>
              <w:t>…………..</w:t>
            </w:r>
          </w:p>
          <w:p w:rsidR="006A701A" w:rsidRPr="005A2E3E" w:rsidRDefault="006A701A" w:rsidP="00C01C41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6A701A" w:rsidRPr="005A2E3E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5A2E3E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5A2E3E" w:rsidTr="007602B8">
        <w:trPr>
          <w:trHeight w:val="333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6A701A" w:rsidRPr="005A2E3E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5A2E3E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FFFFFF"/>
          </w:tcPr>
          <w:p w:rsidR="006228E7" w:rsidRDefault="00DF148F" w:rsidP="000405AF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Zgodnie z art. 9 ust. 1 pkt 2 lit. d ustawy budżetowej na rok 202</w:t>
            </w:r>
            <w:r w:rsidR="000405AF">
              <w:rPr>
                <w:rFonts w:ascii="Times New Roman" w:hAnsi="Times New Roman"/>
              </w:rPr>
              <w:t>4</w:t>
            </w:r>
            <w:r w:rsidRPr="005A2E3E">
              <w:rPr>
                <w:rFonts w:ascii="Times New Roman" w:hAnsi="Times New Roman"/>
              </w:rPr>
              <w:t xml:space="preserve"> z dnia </w:t>
            </w:r>
            <w:r w:rsidR="000405AF">
              <w:rPr>
                <w:rFonts w:ascii="Times New Roman" w:hAnsi="Times New Roman"/>
              </w:rPr>
              <w:t>18 stycznia</w:t>
            </w:r>
            <w:r w:rsidRPr="005A2E3E">
              <w:rPr>
                <w:rFonts w:ascii="Times New Roman" w:hAnsi="Times New Roman"/>
              </w:rPr>
              <w:t xml:space="preserve"> 202</w:t>
            </w:r>
            <w:r w:rsidR="000405AF">
              <w:rPr>
                <w:rFonts w:ascii="Times New Roman" w:hAnsi="Times New Roman"/>
              </w:rPr>
              <w:t>4</w:t>
            </w:r>
            <w:r w:rsidRPr="005A2E3E">
              <w:rPr>
                <w:rFonts w:ascii="Times New Roman" w:hAnsi="Times New Roman"/>
              </w:rPr>
              <w:t xml:space="preserve"> r. kwota bazowa dla żołnierzy zawodowych i funkcjonariuszy ustalona została w wysokości </w:t>
            </w:r>
            <w:r w:rsidR="000405AF">
              <w:rPr>
                <w:rFonts w:ascii="Times New Roman" w:hAnsi="Times New Roman"/>
              </w:rPr>
              <w:t>2.088,77</w:t>
            </w:r>
            <w:r w:rsidRPr="005A2E3E">
              <w:rPr>
                <w:rFonts w:ascii="Times New Roman" w:hAnsi="Times New Roman"/>
              </w:rPr>
              <w:t xml:space="preserve"> zł i tym samym jest wyższa od kwoty bazowej roku 202</w:t>
            </w:r>
            <w:r w:rsidR="000405AF">
              <w:rPr>
                <w:rFonts w:ascii="Times New Roman" w:hAnsi="Times New Roman"/>
              </w:rPr>
              <w:t>3</w:t>
            </w:r>
            <w:r w:rsidRPr="005A2E3E">
              <w:rPr>
                <w:rFonts w:ascii="Times New Roman" w:hAnsi="Times New Roman"/>
              </w:rPr>
              <w:t xml:space="preserve"> o </w:t>
            </w:r>
            <w:r w:rsidR="000405AF">
              <w:rPr>
                <w:rFonts w:ascii="Times New Roman" w:hAnsi="Times New Roman"/>
              </w:rPr>
              <w:t>20,0</w:t>
            </w:r>
            <w:r w:rsidRPr="005A2E3E">
              <w:rPr>
                <w:rFonts w:ascii="Times New Roman" w:hAnsi="Times New Roman"/>
              </w:rPr>
              <w:t xml:space="preserve">%. </w:t>
            </w:r>
            <w:r w:rsidR="000405AF" w:rsidRPr="000405AF">
              <w:rPr>
                <w:rFonts w:ascii="Times New Roman" w:hAnsi="Times New Roman"/>
              </w:rPr>
              <w:t>Wzrost kwoty bazowej o 20,0% w 2024 r. powoduje, że przeciętne miesięczne uposażenie policjanta wraz z nagrodą roczną wzrasta o 1.472 zł. Z kwoty 1 472 zł na wzrost uposażenia wraz z dodatkami przypada kwota 1.359 zł, a na wzrost nagrody rocznej - 113 zł. Przypadająca przeciętna miesięczna kwota wzrostu na 1 etat w wysokości 1.359 zł ma sfinansować wzrost wszystkich składników uposażenia. Przy czym należy zaznaczyć, że wzrost kwoty bazowej powoduje obligatoryjny wzrost uposażenia zasadniczego i w konsekwencji wzrost z tytułu wysługi lat, którego skala uzależniona będzie od indywidualnego stażu służby oraz wzrost dodatków do uposażenia, których wysokość relacjonowana jest do kwoty bazowej.</w:t>
            </w:r>
          </w:p>
          <w:p w:rsidR="00AA5002" w:rsidRPr="005A2E3E" w:rsidRDefault="00846624" w:rsidP="000405AF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W celu zagwarantowania powyższego pełnego wzrostu uposażeń policjantów i tym samym wdrożenia indywidualnych podwyżek zachodzi potrzeba podjęcia prac legislacyjnych nad projektem zmiany rozporządzenia Ministra Spraw Wewnętrznych i Administracji w sprawie szczegółowych zasad otrzymywania i wysokości uposażenia zasadniczego policjantów, </w:t>
            </w:r>
            <w:r w:rsidRPr="006A238E">
              <w:rPr>
                <w:rFonts w:ascii="Times New Roman" w:hAnsi="Times New Roman"/>
              </w:rPr>
              <w:t>dodatków do uposażenia oraz ustalania wysługi lat, od której jest uzależniony wzrost uposażenia za</w:t>
            </w:r>
            <w:r w:rsidR="00790AE4" w:rsidRPr="006A238E">
              <w:rPr>
                <w:rFonts w:ascii="Times New Roman" w:hAnsi="Times New Roman"/>
              </w:rPr>
              <w:t xml:space="preserve">sadniczego. Proponowane zmiany mają dotyczyć </w:t>
            </w:r>
            <w:r w:rsidR="008F3736" w:rsidRPr="006A238E">
              <w:rPr>
                <w:rFonts w:ascii="Times New Roman" w:hAnsi="Times New Roman"/>
              </w:rPr>
              <w:t xml:space="preserve">zmiany tabeli </w:t>
            </w:r>
            <w:r w:rsidR="000405AF" w:rsidRPr="006A238E">
              <w:rPr>
                <w:rFonts w:ascii="Times New Roman" w:hAnsi="Times New Roman"/>
              </w:rPr>
              <w:t>stawek dodatku za posiadany przez policjanta stopień policyjny z jednoczesnym uzależnieniem stawki dodatku za stopień od wysokości kwoty bazowej</w:t>
            </w:r>
            <w:r w:rsidR="008F3736" w:rsidRPr="006A238E">
              <w:rPr>
                <w:rFonts w:ascii="Times New Roman" w:hAnsi="Times New Roman"/>
              </w:rPr>
              <w:t xml:space="preserve">.  </w:t>
            </w:r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6A701A" w:rsidRPr="005A2E3E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auto"/>
          </w:tcPr>
          <w:p w:rsidR="00C603FD" w:rsidRPr="005A2E3E" w:rsidRDefault="00932C93" w:rsidP="00C603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5A2E3E">
              <w:rPr>
                <w:rFonts w:ascii="Times New Roman" w:hAnsi="Times New Roman"/>
                <w:bCs/>
              </w:rPr>
              <w:t xml:space="preserve">Projektowana zmiana rozporządzenia Ministra Spraw Wewnętrznych i Administracji z dnia 6 grudnia 2001 r. </w:t>
            </w:r>
            <w:r w:rsidRPr="005A2E3E">
              <w:rPr>
                <w:rFonts w:ascii="Times New Roman" w:hAnsi="Times New Roman"/>
                <w:bCs/>
                <w:i/>
              </w:rPr>
              <w:t>w sprawie szczegółowych zasad otrzymywania i wysokości uposażenia zasadniczego policjantów, dodatków do uposażenia oraz ustalania wysługi lat, od której jest uzależniony wzrost uposażenia zasadniczego</w:t>
            </w:r>
            <w:r w:rsidRPr="005A2E3E">
              <w:rPr>
                <w:rFonts w:ascii="Times New Roman" w:hAnsi="Times New Roman"/>
                <w:bCs/>
              </w:rPr>
              <w:t xml:space="preserve"> </w:t>
            </w:r>
            <w:r w:rsidR="00A208ED">
              <w:rPr>
                <w:rFonts w:ascii="Times New Roman" w:hAnsi="Times New Roman"/>
                <w:bCs/>
              </w:rPr>
              <w:t xml:space="preserve">polega na </w:t>
            </w:r>
            <w:r w:rsidR="001E6520" w:rsidRPr="005A2E3E">
              <w:rPr>
                <w:rFonts w:ascii="Times New Roman" w:hAnsi="Times New Roman"/>
                <w:bCs/>
              </w:rPr>
              <w:t xml:space="preserve">nadaniu nowego brzmienia załącznika nr </w:t>
            </w:r>
            <w:r w:rsidR="000405AF">
              <w:rPr>
                <w:rFonts w:ascii="Times New Roman" w:hAnsi="Times New Roman"/>
                <w:bCs/>
              </w:rPr>
              <w:t>3</w:t>
            </w:r>
            <w:r w:rsidR="001E6520" w:rsidRPr="005A2E3E">
              <w:rPr>
                <w:rFonts w:ascii="Times New Roman" w:hAnsi="Times New Roman"/>
                <w:bCs/>
              </w:rPr>
              <w:t xml:space="preserve"> do ww. rozporządzenia dotyczącego</w:t>
            </w:r>
            <w:r w:rsidR="001E6520" w:rsidRPr="005A2E3E">
              <w:t xml:space="preserve"> </w:t>
            </w:r>
            <w:r w:rsidR="001E6520" w:rsidRPr="005A2E3E">
              <w:rPr>
                <w:rFonts w:ascii="Times New Roman" w:hAnsi="Times New Roman"/>
                <w:bCs/>
              </w:rPr>
              <w:t xml:space="preserve">tabeli </w:t>
            </w:r>
            <w:r w:rsidR="000405AF" w:rsidRPr="000405AF">
              <w:rPr>
                <w:rFonts w:ascii="Times New Roman" w:hAnsi="Times New Roman"/>
                <w:bCs/>
              </w:rPr>
              <w:t>stawek dodatku za posiadany przez policjanta stopień policyjny</w:t>
            </w:r>
            <w:r w:rsidR="001E6520" w:rsidRPr="005A2E3E">
              <w:rPr>
                <w:rFonts w:ascii="Times New Roman" w:hAnsi="Times New Roman"/>
                <w:bCs/>
              </w:rPr>
              <w:t>.</w:t>
            </w:r>
            <w:r w:rsidR="00367885" w:rsidRPr="005A2E3E">
              <w:rPr>
                <w:rFonts w:ascii="Times New Roman" w:hAnsi="Times New Roman"/>
                <w:bCs/>
              </w:rPr>
              <w:t xml:space="preserve"> </w:t>
            </w:r>
            <w:r w:rsidR="000405AF" w:rsidRPr="000405AF">
              <w:rPr>
                <w:rFonts w:ascii="Times New Roman" w:hAnsi="Times New Roman"/>
                <w:bCs/>
              </w:rPr>
              <w:t>Zgodnie z proponowanym rozwiązaniem stawki dodatku za posiadany stopień policyjny obowiązujące w 2023 roku wzrosną o 20% i zostaną jednocześnie wyrażone jako procent kwoty bazowej.</w:t>
            </w:r>
            <w:r w:rsidR="000405AF">
              <w:rPr>
                <w:rFonts w:ascii="Times New Roman" w:hAnsi="Times New Roman"/>
                <w:bCs/>
              </w:rPr>
              <w:t xml:space="preserve"> </w:t>
            </w:r>
            <w:r w:rsidR="00367885" w:rsidRPr="005A2E3E">
              <w:rPr>
                <w:rFonts w:ascii="Times New Roman" w:hAnsi="Times New Roman"/>
                <w:bCs/>
              </w:rPr>
              <w:t xml:space="preserve">Szacuje się, że średnie uposażenie policjantów w związku z proponowaną zmianą wzrośnie </w:t>
            </w:r>
            <w:r w:rsidR="006228E7">
              <w:rPr>
                <w:rFonts w:ascii="Times New Roman" w:hAnsi="Times New Roman"/>
                <w:bCs/>
              </w:rPr>
              <w:t xml:space="preserve">od dnia 1 </w:t>
            </w:r>
            <w:r w:rsidR="000405AF">
              <w:rPr>
                <w:rFonts w:ascii="Times New Roman" w:hAnsi="Times New Roman"/>
                <w:bCs/>
              </w:rPr>
              <w:t>stycznia</w:t>
            </w:r>
            <w:r w:rsidR="006228E7">
              <w:rPr>
                <w:rFonts w:ascii="Times New Roman" w:hAnsi="Times New Roman"/>
                <w:bCs/>
              </w:rPr>
              <w:t xml:space="preserve"> 202</w:t>
            </w:r>
            <w:r w:rsidR="00ED2041">
              <w:rPr>
                <w:rFonts w:ascii="Times New Roman" w:hAnsi="Times New Roman"/>
                <w:bCs/>
              </w:rPr>
              <w:t>4</w:t>
            </w:r>
            <w:r w:rsidR="006228E7">
              <w:rPr>
                <w:rFonts w:ascii="Times New Roman" w:hAnsi="Times New Roman"/>
                <w:bCs/>
              </w:rPr>
              <w:t xml:space="preserve"> r. </w:t>
            </w:r>
            <w:r w:rsidR="006228E7">
              <w:rPr>
                <w:rFonts w:ascii="Times New Roman" w:hAnsi="Times New Roman"/>
                <w:bCs/>
              </w:rPr>
              <w:br/>
            </w:r>
            <w:r w:rsidR="00367885" w:rsidRPr="005A2E3E">
              <w:rPr>
                <w:rFonts w:ascii="Times New Roman" w:hAnsi="Times New Roman"/>
                <w:bCs/>
              </w:rPr>
              <w:t xml:space="preserve">o kwotę około </w:t>
            </w:r>
            <w:r w:rsidR="000405AF">
              <w:rPr>
                <w:rFonts w:ascii="Times New Roman" w:hAnsi="Times New Roman"/>
                <w:bCs/>
              </w:rPr>
              <w:t>375</w:t>
            </w:r>
            <w:r w:rsidR="00367885" w:rsidRPr="005A2E3E">
              <w:rPr>
                <w:rFonts w:ascii="Times New Roman" w:hAnsi="Times New Roman"/>
                <w:bCs/>
              </w:rPr>
              <w:t xml:space="preserve"> zł.</w:t>
            </w:r>
            <w:r w:rsidR="00EB3277" w:rsidRPr="005A2E3E">
              <w:rPr>
                <w:rFonts w:ascii="Times New Roman" w:hAnsi="Times New Roman"/>
                <w:bCs/>
              </w:rPr>
              <w:t xml:space="preserve"> </w:t>
            </w:r>
          </w:p>
          <w:p w:rsidR="00AA5002" w:rsidRPr="005A2E3E" w:rsidRDefault="00C603FD" w:rsidP="00EB3277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5A2E3E">
              <w:rPr>
                <w:rFonts w:ascii="Times New Roman" w:hAnsi="Times New Roman"/>
              </w:rPr>
              <w:t xml:space="preserve">Celem proponowanej zmiany jest </w:t>
            </w:r>
            <w:r w:rsidR="00367885" w:rsidRPr="005A2E3E">
              <w:rPr>
                <w:rFonts w:ascii="Times New Roman" w:hAnsi="Times New Roman"/>
              </w:rPr>
              <w:t>osiągnięcie wzrostu przeciętnego uposażenia policjantów (bez nagrody rocznej</w:t>
            </w:r>
            <w:r w:rsidR="0036099F" w:rsidRPr="005A2E3E">
              <w:rPr>
                <w:rFonts w:ascii="Times New Roman" w:hAnsi="Times New Roman"/>
              </w:rPr>
              <w:t>)</w:t>
            </w:r>
            <w:r w:rsidR="0036099F" w:rsidRPr="005A2E3E">
              <w:rPr>
                <w:rFonts w:ascii="Times New Roman" w:hAnsi="Times New Roman"/>
              </w:rPr>
              <w:br/>
            </w:r>
            <w:r w:rsidR="00367885" w:rsidRPr="005A2E3E">
              <w:rPr>
                <w:rFonts w:ascii="Times New Roman" w:hAnsi="Times New Roman"/>
              </w:rPr>
              <w:t xml:space="preserve">o kwotę </w:t>
            </w:r>
            <w:r w:rsidR="000405AF">
              <w:rPr>
                <w:rFonts w:ascii="Times New Roman" w:hAnsi="Times New Roman"/>
              </w:rPr>
              <w:t>1 359</w:t>
            </w:r>
            <w:r w:rsidR="00367885" w:rsidRPr="005A2E3E">
              <w:rPr>
                <w:rFonts w:ascii="Times New Roman" w:hAnsi="Times New Roman"/>
              </w:rPr>
              <w:t xml:space="preserve"> zł</w:t>
            </w:r>
            <w:r w:rsidR="00EB3277" w:rsidRPr="005A2E3E">
              <w:rPr>
                <w:rFonts w:ascii="Times New Roman" w:hAnsi="Times New Roman"/>
              </w:rPr>
              <w:t xml:space="preserve"> od dnia 1 </w:t>
            </w:r>
            <w:r w:rsidR="000405AF">
              <w:rPr>
                <w:rFonts w:ascii="Times New Roman" w:hAnsi="Times New Roman"/>
              </w:rPr>
              <w:t>stycznia</w:t>
            </w:r>
            <w:r w:rsidR="00EB3277" w:rsidRPr="005A2E3E">
              <w:rPr>
                <w:rFonts w:ascii="Times New Roman" w:hAnsi="Times New Roman"/>
              </w:rPr>
              <w:t xml:space="preserve"> 202</w:t>
            </w:r>
            <w:r w:rsidR="000405AF">
              <w:rPr>
                <w:rFonts w:ascii="Times New Roman" w:hAnsi="Times New Roman"/>
              </w:rPr>
              <w:t>4</w:t>
            </w:r>
            <w:r w:rsidR="00EB3277" w:rsidRPr="005A2E3E">
              <w:rPr>
                <w:rFonts w:ascii="Times New Roman" w:hAnsi="Times New Roman"/>
              </w:rPr>
              <w:t xml:space="preserve"> r.</w:t>
            </w:r>
            <w:r w:rsidR="00367885" w:rsidRPr="005A2E3E">
              <w:rPr>
                <w:rFonts w:ascii="Times New Roman" w:hAnsi="Times New Roman"/>
              </w:rPr>
              <w:t xml:space="preserve"> Szacowany wzrost składników zależnych </w:t>
            </w:r>
            <w:r w:rsidR="00EB3277" w:rsidRPr="005A2E3E">
              <w:rPr>
                <w:rFonts w:ascii="Times New Roman" w:hAnsi="Times New Roman"/>
              </w:rPr>
              <w:t xml:space="preserve">wyłącznie od </w:t>
            </w:r>
            <w:r w:rsidR="00367885" w:rsidRPr="005A2E3E">
              <w:rPr>
                <w:rFonts w:ascii="Times New Roman" w:hAnsi="Times New Roman"/>
              </w:rPr>
              <w:t xml:space="preserve">kwoty bazowej wynosi </w:t>
            </w:r>
            <w:r w:rsidR="000405AF">
              <w:rPr>
                <w:rFonts w:ascii="Times New Roman" w:hAnsi="Times New Roman"/>
              </w:rPr>
              <w:t>894</w:t>
            </w:r>
            <w:r w:rsidR="00EB3277" w:rsidRPr="005A2E3E">
              <w:rPr>
                <w:rFonts w:ascii="Times New Roman" w:hAnsi="Times New Roman"/>
              </w:rPr>
              <w:t xml:space="preserve"> zł. Wprowadzenie proponowanych zmian </w:t>
            </w:r>
            <w:r w:rsidR="003C3E59">
              <w:rPr>
                <w:rFonts w:ascii="Times New Roman" w:hAnsi="Times New Roman"/>
              </w:rPr>
              <w:t xml:space="preserve">wraz ze wzrostem kwoty bazowej pozwoli na wzrost średniego uposażenia policjantów o 1 269 zł. Jednocześnie wraz ze wzrostem uposażenia zasadniczego z wysługą lat oraz dodatku za stopień rośnie podstawa do przyznawania dodatków służbowych i funkcyjnych. Pozostała do zaangażowania </w:t>
            </w:r>
            <w:r w:rsidR="00ED2041">
              <w:rPr>
                <w:rFonts w:ascii="Times New Roman" w:hAnsi="Times New Roman"/>
              </w:rPr>
              <w:t>na</w:t>
            </w:r>
            <w:bookmarkStart w:id="3" w:name="_GoBack"/>
            <w:bookmarkEnd w:id="3"/>
            <w:r w:rsidR="003C3E59">
              <w:rPr>
                <w:rFonts w:ascii="Times New Roman" w:hAnsi="Times New Roman"/>
              </w:rPr>
              <w:t xml:space="preserve"> podwyżki kwota około 90 zł zostanie przeznaczona na zapewnienie regulacji tych dodatków – szczególnie dla policjantów, którzy nie osiągną poziomu dodatków funkcyjnych na poziomie 20% podstawy.</w:t>
            </w:r>
          </w:p>
          <w:p w:rsidR="003D7CC0" w:rsidRDefault="003C3E59" w:rsidP="003D7CC0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Dokonanie opisanych zmian pozwoli na osiągnięcie przeciętnego uposażenia wraz z nagroda roczną na poziomie na poziomie 8.833 zł, w tym na samo uposażenia zasadnicze z dodatkami o charakterze stałym 8.154 zł.</w:t>
            </w:r>
          </w:p>
          <w:p w:rsidR="000B5B2B" w:rsidRPr="005A2E3E" w:rsidRDefault="003C3E59" w:rsidP="003D7CC0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Jednocześnie należy zaznaczyć, że kwota podwyżki 1.359 zł na jeden etat nie obejmuje skutków finansowych wprowadzonych od 1 marca 2023 r. rozporządzeniem Ministra Spraw Wewnętrznych i Administracji z dnia 27 lutego 2023 roku zmieniającego rozporządzenie </w:t>
            </w:r>
            <w:r w:rsidRPr="003C3E59">
              <w:rPr>
                <w:rFonts w:ascii="Times New Roman" w:hAnsi="Times New Roman"/>
                <w:bCs/>
              </w:rPr>
              <w:t>w sprawie szczegółowych zasad otrzymywania i wysokości uposażenia zasadniczego policjantów, dodatków do uposażenia oraz ustalania wysługi lat, od której jest uzależniony wzrost uposażenia zasadniczego</w:t>
            </w:r>
            <w:r>
              <w:rPr>
                <w:rFonts w:ascii="Times New Roman" w:hAnsi="Times New Roman"/>
                <w:bCs/>
              </w:rPr>
              <w:t xml:space="preserve"> (Dz. U. poz. 376) </w:t>
            </w:r>
            <w:r w:rsidR="00266639">
              <w:rPr>
                <w:rFonts w:ascii="Times New Roman" w:hAnsi="Times New Roman"/>
                <w:bCs/>
              </w:rPr>
              <w:t>modyfikacji dodatków dla funkcjonariuszy, tj. rozszerzenia kręgu uprawnionych do dodatku stołecznego oraz dodatku terenowego, a także ustanowienia minimalnego progu (nie mniej niż 20% podstawy) dodatku funkcyjnego.</w:t>
            </w:r>
          </w:p>
        </w:tc>
      </w:tr>
      <w:tr w:rsidR="006A701A" w:rsidRPr="005A2E3E" w:rsidTr="007602B8">
        <w:trPr>
          <w:trHeight w:val="307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6A701A" w:rsidRPr="005A2E3E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5A2E3E">
              <w:rPr>
                <w:rFonts w:ascii="Times New Roman" w:hAnsi="Times New Roman"/>
                <w:b/>
              </w:rPr>
              <w:t>?</w:t>
            </w:r>
            <w:r w:rsidR="006A701A" w:rsidRPr="005A2E3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A701A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auto"/>
          </w:tcPr>
          <w:p w:rsidR="00FF175C" w:rsidRPr="005A2E3E" w:rsidRDefault="00FF175C" w:rsidP="00FF175C">
            <w:pPr>
              <w:jc w:val="both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Z uwagi na charakter wprowadzanych regulacji, nie przeprowadzano analizy porównawczej.</w:t>
            </w:r>
          </w:p>
        </w:tc>
      </w:tr>
      <w:tr w:rsidR="006A701A" w:rsidRPr="005A2E3E" w:rsidTr="007602B8">
        <w:trPr>
          <w:trHeight w:val="359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6A701A" w:rsidRPr="005A2E3E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260F33" w:rsidRPr="005A2E3E" w:rsidTr="007602B8">
        <w:trPr>
          <w:trHeight w:val="142"/>
        </w:trPr>
        <w:tc>
          <w:tcPr>
            <w:tcW w:w="2907" w:type="dxa"/>
            <w:gridSpan w:val="3"/>
            <w:shd w:val="clear" w:color="auto" w:fill="auto"/>
          </w:tcPr>
          <w:p w:rsidR="00260F33" w:rsidRPr="005A2E3E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1818" w:type="dxa"/>
            <w:gridSpan w:val="6"/>
            <w:shd w:val="clear" w:color="auto" w:fill="auto"/>
          </w:tcPr>
          <w:p w:rsidR="00260F33" w:rsidRPr="005A2E3E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817" w:type="dxa"/>
            <w:gridSpan w:val="9"/>
            <w:shd w:val="clear" w:color="auto" w:fill="auto"/>
          </w:tcPr>
          <w:p w:rsidR="00260F33" w:rsidRPr="005A2E3E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Źródło danych</w:t>
            </w:r>
            <w:r w:rsidRPr="005A2E3E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260F33" w:rsidRPr="005A2E3E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8F50D8" w:rsidRPr="005A2E3E" w:rsidTr="00D02AF8">
        <w:trPr>
          <w:trHeight w:val="1081"/>
        </w:trPr>
        <w:tc>
          <w:tcPr>
            <w:tcW w:w="2907" w:type="dxa"/>
            <w:gridSpan w:val="3"/>
            <w:shd w:val="clear" w:color="auto" w:fill="auto"/>
          </w:tcPr>
          <w:p w:rsidR="00932C93" w:rsidRPr="005A2E3E" w:rsidRDefault="00932C93" w:rsidP="0087398F">
            <w:pPr>
              <w:tabs>
                <w:tab w:val="left" w:pos="136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Funkcjonariusze Policji </w:t>
            </w:r>
          </w:p>
          <w:p w:rsidR="00932C93" w:rsidRPr="005A2E3E" w:rsidRDefault="00932C93" w:rsidP="0087398F">
            <w:pPr>
              <w:tabs>
                <w:tab w:val="left" w:pos="136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32C93" w:rsidRPr="005A2E3E" w:rsidRDefault="00932C93" w:rsidP="0087398F">
            <w:pPr>
              <w:tabs>
                <w:tab w:val="left" w:pos="136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32C93" w:rsidRPr="005A2E3E" w:rsidRDefault="00932C93" w:rsidP="0087398F">
            <w:pPr>
              <w:tabs>
                <w:tab w:val="left" w:pos="136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622C3" w:rsidRPr="005A2E3E" w:rsidRDefault="002622C3" w:rsidP="00D02AF8">
            <w:pPr>
              <w:tabs>
                <w:tab w:val="left" w:pos="136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gridSpan w:val="6"/>
            <w:shd w:val="clear" w:color="auto" w:fill="auto"/>
          </w:tcPr>
          <w:p w:rsidR="00932C93" w:rsidRPr="005A2E3E" w:rsidRDefault="00266639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108 909</w:t>
            </w: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2622C3" w:rsidRPr="005A2E3E" w:rsidRDefault="002622C3" w:rsidP="00D02AF8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817" w:type="dxa"/>
            <w:gridSpan w:val="9"/>
            <w:shd w:val="clear" w:color="auto" w:fill="auto"/>
          </w:tcPr>
          <w:p w:rsidR="00932C93" w:rsidRPr="005A2E3E" w:rsidRDefault="00266639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</w:t>
            </w:r>
            <w:r w:rsidR="0093295A" w:rsidRPr="005A2E3E">
              <w:rPr>
                <w:rFonts w:ascii="Times New Roman" w:hAnsi="Times New Roman"/>
                <w:spacing w:val="-2"/>
              </w:rPr>
              <w:t>staw</w:t>
            </w:r>
            <w:r>
              <w:rPr>
                <w:rFonts w:ascii="Times New Roman" w:hAnsi="Times New Roman"/>
                <w:spacing w:val="-2"/>
              </w:rPr>
              <w:t>a</w:t>
            </w:r>
            <w:r w:rsidR="0093295A" w:rsidRPr="005A2E3E">
              <w:rPr>
                <w:rFonts w:ascii="Times New Roman" w:hAnsi="Times New Roman"/>
                <w:spacing w:val="-2"/>
              </w:rPr>
              <w:t xml:space="preserve"> budżetow</w:t>
            </w:r>
            <w:r>
              <w:rPr>
                <w:rFonts w:ascii="Times New Roman" w:hAnsi="Times New Roman"/>
                <w:spacing w:val="-2"/>
              </w:rPr>
              <w:t>a</w:t>
            </w:r>
            <w:r w:rsidR="0093295A" w:rsidRPr="005A2E3E">
              <w:rPr>
                <w:rFonts w:ascii="Times New Roman" w:hAnsi="Times New Roman"/>
                <w:spacing w:val="-2"/>
              </w:rPr>
              <w:t xml:space="preserve"> na 202</w:t>
            </w:r>
            <w:r>
              <w:rPr>
                <w:rFonts w:ascii="Times New Roman" w:hAnsi="Times New Roman"/>
                <w:spacing w:val="-2"/>
              </w:rPr>
              <w:t>4</w:t>
            </w:r>
            <w:r w:rsidR="0093295A" w:rsidRPr="005A2E3E">
              <w:rPr>
                <w:rFonts w:ascii="Times New Roman" w:hAnsi="Times New Roman"/>
                <w:spacing w:val="-2"/>
              </w:rPr>
              <w:t xml:space="preserve"> r.</w:t>
            </w: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932C93" w:rsidRPr="005A2E3E" w:rsidRDefault="00932C93" w:rsidP="0087398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8F50D8" w:rsidRPr="005A2E3E" w:rsidRDefault="008F50D8" w:rsidP="00D02AF8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:rsidR="008F50D8" w:rsidRPr="005A2E3E" w:rsidRDefault="002C6CFF" w:rsidP="00266639">
            <w:pPr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 xml:space="preserve">Ustanowienie </w:t>
            </w:r>
            <w:r w:rsidR="0011484E" w:rsidRPr="005A2E3E">
              <w:rPr>
                <w:rFonts w:ascii="Times New Roman" w:hAnsi="Times New Roman"/>
                <w:spacing w:val="-2"/>
              </w:rPr>
              <w:t xml:space="preserve">nowych stawek </w:t>
            </w:r>
            <w:r w:rsidR="00266639">
              <w:rPr>
                <w:rFonts w:ascii="Times New Roman" w:hAnsi="Times New Roman"/>
                <w:spacing w:val="-2"/>
              </w:rPr>
              <w:t>dodatku za posiadany przez policjanta stopień służbowy</w:t>
            </w:r>
          </w:p>
        </w:tc>
      </w:tr>
      <w:tr w:rsidR="005970B5" w:rsidRPr="005A2E3E" w:rsidTr="007602B8">
        <w:trPr>
          <w:trHeight w:val="302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5970B5" w:rsidRPr="005A2E3E" w:rsidRDefault="005970B5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5970B5" w:rsidRPr="005A2E3E" w:rsidTr="007602B8">
        <w:trPr>
          <w:trHeight w:val="342"/>
        </w:trPr>
        <w:tc>
          <w:tcPr>
            <w:tcW w:w="10661" w:type="dxa"/>
            <w:gridSpan w:val="24"/>
            <w:shd w:val="clear" w:color="auto" w:fill="FFFFFF"/>
          </w:tcPr>
          <w:p w:rsidR="009C2AB9" w:rsidRPr="005A2E3E" w:rsidRDefault="009C2AB9" w:rsidP="009C0131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Projekt </w:t>
            </w:r>
            <w:r w:rsidR="007D21C3" w:rsidRPr="005A2E3E">
              <w:rPr>
                <w:rFonts w:ascii="Times New Roman" w:hAnsi="Times New Roman"/>
              </w:rPr>
              <w:t>rozporządzenia</w:t>
            </w:r>
            <w:r w:rsidRPr="005A2E3E">
              <w:rPr>
                <w:rFonts w:ascii="Times New Roman" w:hAnsi="Times New Roman"/>
              </w:rPr>
              <w:t xml:space="preserve"> zosta</w:t>
            </w:r>
            <w:r w:rsidR="006F4012" w:rsidRPr="005A2E3E">
              <w:rPr>
                <w:rFonts w:ascii="Times New Roman" w:hAnsi="Times New Roman"/>
              </w:rPr>
              <w:t>ł</w:t>
            </w:r>
            <w:r w:rsidRPr="005A2E3E">
              <w:rPr>
                <w:rFonts w:ascii="Times New Roman" w:hAnsi="Times New Roman"/>
              </w:rPr>
              <w:t xml:space="preserve"> zamieszczony, stosownie do wymogów art. 5 ustawy z dnia 7 lipca 2005 r. </w:t>
            </w:r>
            <w:r w:rsidR="00E87343" w:rsidRPr="005A2E3E">
              <w:rPr>
                <w:rFonts w:ascii="Times New Roman" w:hAnsi="Times New Roman"/>
              </w:rPr>
              <w:br/>
            </w:r>
            <w:r w:rsidRPr="005A2E3E">
              <w:rPr>
                <w:rFonts w:ascii="Times New Roman" w:hAnsi="Times New Roman"/>
              </w:rPr>
              <w:t xml:space="preserve">o działalności lobbingowej w procesie stanowienia prawa (Dz. U. z 2017 r. poz. 248) oraz zgodnie z § 52 ust. 1 uchwały </w:t>
            </w:r>
            <w:r w:rsidR="00083EA7" w:rsidRPr="005A2E3E">
              <w:rPr>
                <w:rFonts w:ascii="Times New Roman" w:hAnsi="Times New Roman"/>
              </w:rPr>
              <w:t xml:space="preserve">nr 190 </w:t>
            </w:r>
            <w:r w:rsidRPr="005A2E3E">
              <w:rPr>
                <w:rFonts w:ascii="Times New Roman" w:hAnsi="Times New Roman"/>
              </w:rPr>
              <w:t>Rady Ministrów z dnia 29 października 2013 r. – Regulamin pracy Rady Ministrów (M.P. z 20</w:t>
            </w:r>
            <w:r w:rsidR="00083EA7" w:rsidRPr="005A2E3E">
              <w:rPr>
                <w:rFonts w:ascii="Times New Roman" w:hAnsi="Times New Roman"/>
              </w:rPr>
              <w:t>22</w:t>
            </w:r>
            <w:r w:rsidRPr="005A2E3E">
              <w:rPr>
                <w:rFonts w:ascii="Times New Roman" w:hAnsi="Times New Roman"/>
              </w:rPr>
              <w:t xml:space="preserve"> r. poz. </w:t>
            </w:r>
            <w:r w:rsidR="00083EA7" w:rsidRPr="005A2E3E">
              <w:rPr>
                <w:rFonts w:ascii="Times New Roman" w:hAnsi="Times New Roman"/>
              </w:rPr>
              <w:t>349</w:t>
            </w:r>
            <w:r w:rsidRPr="005A2E3E">
              <w:rPr>
                <w:rFonts w:ascii="Times New Roman" w:hAnsi="Times New Roman"/>
              </w:rPr>
              <w:t>)</w:t>
            </w:r>
            <w:r w:rsidR="001B08DA" w:rsidRPr="005A2E3E">
              <w:rPr>
                <w:rFonts w:ascii="Times New Roman" w:hAnsi="Times New Roman"/>
              </w:rPr>
              <w:t xml:space="preserve"> </w:t>
            </w:r>
            <w:r w:rsidRPr="005A2E3E">
              <w:rPr>
                <w:rFonts w:ascii="Times New Roman" w:hAnsi="Times New Roman"/>
              </w:rPr>
              <w:t>w</w:t>
            </w:r>
            <w:r w:rsidR="001B08DA" w:rsidRPr="005A2E3E">
              <w:rPr>
                <w:rFonts w:ascii="Times New Roman" w:hAnsi="Times New Roman"/>
              </w:rPr>
              <w:t> </w:t>
            </w:r>
            <w:r w:rsidRPr="005A2E3E">
              <w:rPr>
                <w:rFonts w:ascii="Times New Roman" w:hAnsi="Times New Roman"/>
              </w:rPr>
              <w:t>Biuletynie Informacji Publicznej Rządowego Centrum Legislacji.</w:t>
            </w:r>
          </w:p>
          <w:p w:rsidR="00FA0C20" w:rsidRPr="005A2E3E" w:rsidRDefault="00FA0C20" w:rsidP="00FA0C20">
            <w:pPr>
              <w:spacing w:after="6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Projekt został uzgodniony ze związkiem zawodowym NSZZ Policjantów.</w:t>
            </w:r>
          </w:p>
          <w:p w:rsidR="006F2206" w:rsidRPr="005A2E3E" w:rsidRDefault="00583791" w:rsidP="006F4012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Projektowane regulacje nie spowodują skutków dla budżetów jednostek samorządu terytorialnego, tym samym projekt nie wymaga konsultacji z Komisją Wspólną Rządu i Samorządu Terytorialnego.</w:t>
            </w:r>
          </w:p>
        </w:tc>
      </w:tr>
      <w:tr w:rsidR="005970B5" w:rsidRPr="005A2E3E" w:rsidTr="007602B8">
        <w:trPr>
          <w:trHeight w:val="363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5970B5" w:rsidRPr="005A2E3E" w:rsidRDefault="005970B5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5970B5" w:rsidRPr="005A2E3E" w:rsidTr="007602B8">
        <w:trPr>
          <w:trHeight w:val="142"/>
        </w:trPr>
        <w:tc>
          <w:tcPr>
            <w:tcW w:w="3053" w:type="dxa"/>
            <w:gridSpan w:val="4"/>
            <w:vMerge w:val="restart"/>
            <w:shd w:val="clear" w:color="auto" w:fill="FFFFFF"/>
          </w:tcPr>
          <w:p w:rsidR="005970B5" w:rsidRPr="005A2E3E" w:rsidRDefault="005970B5" w:rsidP="0057551A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(ceny stałe z 20</w:t>
            </w:r>
            <w:r w:rsidR="0057551A"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608" w:type="dxa"/>
            <w:gridSpan w:val="20"/>
            <w:shd w:val="clear" w:color="auto" w:fill="FFFFFF"/>
          </w:tcPr>
          <w:p w:rsidR="005970B5" w:rsidRPr="005A2E3E" w:rsidRDefault="005970B5" w:rsidP="00D504A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172C8A" w:rsidRPr="005A2E3E" w:rsidTr="007602B8">
        <w:trPr>
          <w:trHeight w:val="142"/>
        </w:trPr>
        <w:tc>
          <w:tcPr>
            <w:tcW w:w="3053" w:type="dxa"/>
            <w:gridSpan w:val="4"/>
            <w:vMerge/>
            <w:shd w:val="clear" w:color="auto" w:fill="FFFFFF"/>
          </w:tcPr>
          <w:p w:rsidR="005970B5" w:rsidRPr="005A2E3E" w:rsidRDefault="005970B5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3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63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44" w:type="dxa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71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63" w:type="dxa"/>
            <w:gridSpan w:val="2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64" w:type="dxa"/>
            <w:shd w:val="clear" w:color="auto" w:fill="FFFFFF"/>
          </w:tcPr>
          <w:p w:rsidR="005970B5" w:rsidRPr="005A2E3E" w:rsidRDefault="005970B5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21" w:type="dxa"/>
            <w:shd w:val="clear" w:color="auto" w:fill="FFFFFF"/>
          </w:tcPr>
          <w:p w:rsidR="005970B5" w:rsidRPr="005A2E3E" w:rsidRDefault="005970B5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 (0-10)</w:t>
            </w:r>
          </w:p>
        </w:tc>
      </w:tr>
      <w:tr w:rsidR="00BD5F7C" w:rsidRPr="005A2E3E" w:rsidTr="007602B8">
        <w:trPr>
          <w:trHeight w:val="321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21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44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44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30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30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51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51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60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60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57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F7C" w:rsidRPr="005A2E3E" w:rsidTr="007602B8">
        <w:trPr>
          <w:trHeight w:val="357"/>
        </w:trPr>
        <w:tc>
          <w:tcPr>
            <w:tcW w:w="3053" w:type="dxa"/>
            <w:gridSpan w:val="4"/>
            <w:shd w:val="clear" w:color="auto" w:fill="FFFFFF"/>
            <w:vAlign w:val="center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B5" w:rsidRPr="005A2E3E" w:rsidTr="007602B8">
        <w:trPr>
          <w:trHeight w:val="348"/>
        </w:trPr>
        <w:tc>
          <w:tcPr>
            <w:tcW w:w="2184" w:type="dxa"/>
            <w:gridSpan w:val="2"/>
            <w:shd w:val="clear" w:color="auto" w:fill="FFFFFF"/>
            <w:vAlign w:val="center"/>
          </w:tcPr>
          <w:p w:rsidR="005970B5" w:rsidRPr="005A2E3E" w:rsidRDefault="005970B5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477" w:type="dxa"/>
            <w:gridSpan w:val="22"/>
            <w:shd w:val="clear" w:color="auto" w:fill="FFFFFF"/>
            <w:vAlign w:val="bottom"/>
          </w:tcPr>
          <w:p w:rsidR="003A673B" w:rsidRDefault="0011484E" w:rsidP="006A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Sf</w:t>
            </w:r>
            <w:r w:rsidR="003A673B" w:rsidRPr="005A2E3E">
              <w:rPr>
                <w:rFonts w:ascii="Times New Roman" w:hAnsi="Times New Roman"/>
              </w:rPr>
              <w:t xml:space="preserve">inansowanie </w:t>
            </w:r>
            <w:r w:rsidRPr="005A2E3E">
              <w:rPr>
                <w:rFonts w:ascii="Times New Roman" w:hAnsi="Times New Roman"/>
              </w:rPr>
              <w:t xml:space="preserve">proponowanych zmian </w:t>
            </w:r>
            <w:r w:rsidR="003A673B" w:rsidRPr="005A2E3E">
              <w:rPr>
                <w:rFonts w:ascii="Times New Roman" w:hAnsi="Times New Roman"/>
              </w:rPr>
              <w:t>odbędzie się ze środków ujętych w części 42 – Sprawy wewnętrzne w ramach środków przewidzi</w:t>
            </w:r>
            <w:r w:rsidRPr="005A2E3E">
              <w:rPr>
                <w:rFonts w:ascii="Times New Roman" w:hAnsi="Times New Roman"/>
              </w:rPr>
              <w:t xml:space="preserve">anych na funkcjonowanie Policji </w:t>
            </w:r>
            <w:r w:rsidR="006A4C35">
              <w:rPr>
                <w:rFonts w:ascii="Times New Roman" w:hAnsi="Times New Roman"/>
              </w:rPr>
              <w:t>w 202</w:t>
            </w:r>
            <w:r w:rsidR="00266639">
              <w:rPr>
                <w:rFonts w:ascii="Times New Roman" w:hAnsi="Times New Roman"/>
              </w:rPr>
              <w:t>4</w:t>
            </w:r>
            <w:r w:rsidR="006A4C35">
              <w:rPr>
                <w:rFonts w:ascii="Times New Roman" w:hAnsi="Times New Roman"/>
              </w:rPr>
              <w:t xml:space="preserve"> r. </w:t>
            </w:r>
            <w:r w:rsidRPr="005A2E3E">
              <w:rPr>
                <w:rFonts w:ascii="Times New Roman" w:hAnsi="Times New Roman"/>
              </w:rPr>
              <w:t xml:space="preserve">w związku z określeniem w ustawie budżetowej wskaźnika wzrostu wynagrodzeń w państwowej sferze budżetowej w wysokości </w:t>
            </w:r>
            <w:r w:rsidR="00266639">
              <w:rPr>
                <w:rFonts w:ascii="Times New Roman" w:hAnsi="Times New Roman"/>
              </w:rPr>
              <w:t>120,0</w:t>
            </w:r>
            <w:r w:rsidRPr="005A2E3E">
              <w:rPr>
                <w:rFonts w:ascii="Times New Roman" w:hAnsi="Times New Roman"/>
              </w:rPr>
              <w:t>%.</w:t>
            </w:r>
          </w:p>
          <w:p w:rsidR="006A4C35" w:rsidRPr="005A2E3E" w:rsidRDefault="006A4C35" w:rsidP="00D90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D90F1E">
              <w:rPr>
                <w:rFonts w:ascii="Times New Roman" w:hAnsi="Times New Roman"/>
              </w:rPr>
              <w:t xml:space="preserve">Sfinansowanie proponowanych zmian od 1 stycznia 2024 r. powinno odbyć się ze środków </w:t>
            </w:r>
            <w:r w:rsidR="00D90F1E" w:rsidRPr="00D90F1E">
              <w:rPr>
                <w:rFonts w:ascii="Times New Roman" w:hAnsi="Times New Roman"/>
              </w:rPr>
              <w:t>stanowiących zwiększenie budżetu Policji</w:t>
            </w:r>
            <w:r w:rsidRPr="00D90F1E">
              <w:rPr>
                <w:rFonts w:ascii="Times New Roman" w:hAnsi="Times New Roman"/>
              </w:rPr>
              <w:t xml:space="preserve"> w części 42 – Sprawy wewnętrzne w ramach środków przewidzianych na funkcjonowanie Policji w 202</w:t>
            </w:r>
            <w:r w:rsidR="00D90F1E" w:rsidRPr="00D90F1E">
              <w:rPr>
                <w:rFonts w:ascii="Times New Roman" w:hAnsi="Times New Roman"/>
              </w:rPr>
              <w:t>4</w:t>
            </w:r>
            <w:r w:rsidR="00440224">
              <w:rPr>
                <w:rFonts w:ascii="Times New Roman" w:hAnsi="Times New Roman"/>
              </w:rPr>
              <w:t xml:space="preserve"> r.</w:t>
            </w:r>
          </w:p>
        </w:tc>
      </w:tr>
      <w:tr w:rsidR="0093295A" w:rsidRPr="005A2E3E" w:rsidTr="007602B8">
        <w:trPr>
          <w:trHeight w:val="1347"/>
        </w:trPr>
        <w:tc>
          <w:tcPr>
            <w:tcW w:w="2184" w:type="dxa"/>
            <w:gridSpan w:val="2"/>
            <w:shd w:val="clear" w:color="auto" w:fill="FFFFFF"/>
          </w:tcPr>
          <w:p w:rsidR="005970B5" w:rsidRPr="005A2E3E" w:rsidRDefault="005970B5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477" w:type="dxa"/>
            <w:gridSpan w:val="22"/>
            <w:shd w:val="clear" w:color="auto" w:fill="FFFFFF"/>
          </w:tcPr>
          <w:p w:rsidR="00E87343" w:rsidRPr="005A2E3E" w:rsidRDefault="002B35D8" w:rsidP="00134A0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1"/>
              </w:rPr>
              <w:t>Z</w:t>
            </w:r>
            <w:r w:rsidR="00134A0F" w:rsidRPr="005A2E3E">
              <w:rPr>
                <w:rFonts w:ascii="Times New Roman" w:hAnsi="Times New Roman"/>
                <w:bCs/>
              </w:rPr>
              <w:t>miana</w:t>
            </w:r>
            <w:r w:rsidR="00134A0F" w:rsidRPr="005A2E3E">
              <w:t xml:space="preserve"> </w:t>
            </w:r>
            <w:r w:rsidR="00134A0F" w:rsidRPr="005A2E3E">
              <w:rPr>
                <w:rFonts w:ascii="Times New Roman" w:hAnsi="Times New Roman"/>
                <w:bCs/>
              </w:rPr>
              <w:t xml:space="preserve">stawek </w:t>
            </w:r>
            <w:r w:rsidR="00266639" w:rsidRPr="00266639">
              <w:rPr>
                <w:rFonts w:ascii="Times New Roman" w:hAnsi="Times New Roman"/>
                <w:bCs/>
              </w:rPr>
              <w:t xml:space="preserve">dodatku za posiadany przez policjanta stopień służbowy </w:t>
            </w:r>
            <w:r w:rsidR="00134A0F" w:rsidRPr="005A2E3E">
              <w:rPr>
                <w:rFonts w:ascii="Times New Roman" w:hAnsi="Times New Roman"/>
                <w:bCs/>
              </w:rPr>
              <w:t xml:space="preserve">będzie dotyczyła wszystkich funkcjonariuszy tj. </w:t>
            </w:r>
            <w:r w:rsidR="00266639">
              <w:rPr>
                <w:rFonts w:ascii="Times New Roman" w:hAnsi="Times New Roman"/>
                <w:bCs/>
              </w:rPr>
              <w:t>108.909</w:t>
            </w:r>
            <w:r w:rsidR="00134A0F" w:rsidRPr="005A2E3E">
              <w:rPr>
                <w:rFonts w:ascii="Times New Roman" w:hAnsi="Times New Roman"/>
                <w:bCs/>
              </w:rPr>
              <w:t xml:space="preserve"> etatów w jednostkach organizacyjnych Policji.</w:t>
            </w:r>
          </w:p>
          <w:p w:rsidR="00D90F1E" w:rsidRDefault="002B578F" w:rsidP="00D90F1E">
            <w:pPr>
              <w:jc w:val="both"/>
              <w:rPr>
                <w:rFonts w:ascii="Times New Roman" w:hAnsi="Times New Roman"/>
                <w:bCs/>
              </w:rPr>
            </w:pPr>
            <w:r w:rsidRPr="00D90F1E">
              <w:rPr>
                <w:rFonts w:ascii="Times New Roman" w:hAnsi="Times New Roman"/>
                <w:szCs w:val="21"/>
              </w:rPr>
              <w:t>W wyniku wzrostu uposażeń policjantów wzrosną również wydatki relacjonowane, jak fundusz nagród i zapomóg</w:t>
            </w:r>
            <w:r w:rsidR="000F776F" w:rsidRPr="00D90F1E">
              <w:rPr>
                <w:rFonts w:ascii="Times New Roman" w:hAnsi="Times New Roman"/>
                <w:szCs w:val="21"/>
              </w:rPr>
              <w:t>,</w:t>
            </w:r>
            <w:r w:rsidRPr="00D90F1E">
              <w:rPr>
                <w:rFonts w:ascii="Times New Roman" w:hAnsi="Times New Roman"/>
                <w:szCs w:val="21"/>
              </w:rPr>
              <w:t xml:space="preserve"> czy pozostałe należności i świadczenia, których podstawą naliczenia jest</w:t>
            </w:r>
            <w:r w:rsidR="002B35D8" w:rsidRPr="00D90F1E">
              <w:rPr>
                <w:rFonts w:ascii="Times New Roman" w:hAnsi="Times New Roman"/>
                <w:szCs w:val="21"/>
              </w:rPr>
              <w:t xml:space="preserve"> wysokość należnego uposażenia.</w:t>
            </w:r>
            <w:r w:rsidR="00D90F1E">
              <w:rPr>
                <w:rFonts w:ascii="Times New Roman" w:hAnsi="Times New Roman"/>
                <w:szCs w:val="21"/>
              </w:rPr>
              <w:t xml:space="preserve"> </w:t>
            </w:r>
            <w:r w:rsidR="00D90F1E" w:rsidRPr="00D90F1E">
              <w:rPr>
                <w:rFonts w:ascii="Times New Roman" w:hAnsi="Times New Roman"/>
                <w:bCs/>
              </w:rPr>
              <w:t>Na realizację podwyższenia uposażeń policjantów i wydatków relacjonowanych w 202</w:t>
            </w:r>
            <w:r w:rsidR="00266639">
              <w:rPr>
                <w:rFonts w:ascii="Times New Roman" w:hAnsi="Times New Roman"/>
                <w:bCs/>
              </w:rPr>
              <w:t>4</w:t>
            </w:r>
            <w:r w:rsidR="00D90F1E" w:rsidRPr="00D90F1E">
              <w:rPr>
                <w:rFonts w:ascii="Times New Roman" w:hAnsi="Times New Roman"/>
                <w:bCs/>
              </w:rPr>
              <w:t xml:space="preserve"> r. budżet Policji, w tym zakresie został zwiększony o </w:t>
            </w:r>
            <w:r w:rsidR="00266639">
              <w:rPr>
                <w:rFonts w:ascii="Times New Roman" w:hAnsi="Times New Roman"/>
                <w:bCs/>
              </w:rPr>
              <w:t>20,0</w:t>
            </w:r>
            <w:r w:rsidR="00D90F1E" w:rsidRPr="00D90F1E">
              <w:rPr>
                <w:rFonts w:ascii="Times New Roman" w:hAnsi="Times New Roman"/>
                <w:bCs/>
              </w:rPr>
              <w:t>% i zabezpiecza wydatki w przeliczeniu na 12 miesięcy.</w:t>
            </w:r>
          </w:p>
          <w:p w:rsidR="00B14962" w:rsidRPr="00266639" w:rsidRDefault="00EB26D1" w:rsidP="00266639">
            <w:pPr>
              <w:jc w:val="both"/>
              <w:rPr>
                <w:rFonts w:ascii="Times New Roman" w:hAnsi="Times New Roman"/>
                <w:szCs w:val="21"/>
              </w:rPr>
            </w:pPr>
            <w:r w:rsidRPr="00AA6A53">
              <w:rPr>
                <w:rFonts w:ascii="Times New Roman" w:hAnsi="Times New Roman"/>
                <w:szCs w:val="21"/>
              </w:rPr>
              <w:t>W 202</w:t>
            </w:r>
            <w:r w:rsidR="00266639">
              <w:rPr>
                <w:rFonts w:ascii="Times New Roman" w:hAnsi="Times New Roman"/>
                <w:szCs w:val="21"/>
              </w:rPr>
              <w:t>5</w:t>
            </w:r>
            <w:r w:rsidRPr="00AA6A53">
              <w:rPr>
                <w:rFonts w:ascii="Times New Roman" w:hAnsi="Times New Roman"/>
                <w:szCs w:val="21"/>
              </w:rPr>
              <w:t xml:space="preserve"> r. nastąpi wzr</w:t>
            </w:r>
            <w:r w:rsidR="005D308F" w:rsidRPr="00AA6A53">
              <w:rPr>
                <w:rFonts w:ascii="Times New Roman" w:hAnsi="Times New Roman"/>
                <w:szCs w:val="21"/>
              </w:rPr>
              <w:t>ost wydatków</w:t>
            </w:r>
            <w:r w:rsidR="00BD5F7C" w:rsidRPr="00AA6A53">
              <w:rPr>
                <w:rFonts w:ascii="Times New Roman" w:hAnsi="Times New Roman"/>
                <w:szCs w:val="21"/>
              </w:rPr>
              <w:t xml:space="preserve"> z tytułu skutku przechodzącego </w:t>
            </w:r>
            <w:r w:rsidR="007B2EBF" w:rsidRPr="00AA6A53">
              <w:rPr>
                <w:rFonts w:ascii="Times New Roman" w:hAnsi="Times New Roman"/>
                <w:szCs w:val="21"/>
              </w:rPr>
              <w:t xml:space="preserve">z </w:t>
            </w:r>
            <w:r w:rsidR="00D90F1E" w:rsidRPr="00AA6A53">
              <w:rPr>
                <w:rFonts w:ascii="Times New Roman" w:hAnsi="Times New Roman"/>
                <w:szCs w:val="21"/>
              </w:rPr>
              <w:t>202</w:t>
            </w:r>
            <w:r w:rsidR="00266639">
              <w:rPr>
                <w:rFonts w:ascii="Times New Roman" w:hAnsi="Times New Roman"/>
                <w:szCs w:val="21"/>
              </w:rPr>
              <w:t>4</w:t>
            </w:r>
            <w:r w:rsidR="00D90F1E" w:rsidRPr="00AA6A53">
              <w:rPr>
                <w:rFonts w:ascii="Times New Roman" w:hAnsi="Times New Roman"/>
                <w:szCs w:val="21"/>
              </w:rPr>
              <w:t xml:space="preserve"> r. z </w:t>
            </w:r>
            <w:r w:rsidR="007B2EBF" w:rsidRPr="00AA6A53">
              <w:rPr>
                <w:rFonts w:ascii="Times New Roman" w:hAnsi="Times New Roman"/>
                <w:szCs w:val="21"/>
              </w:rPr>
              <w:t xml:space="preserve">tytułu nagrody rocznej. </w:t>
            </w:r>
            <w:r w:rsidR="00DE4E30" w:rsidRPr="00AA6A53">
              <w:rPr>
                <w:rFonts w:ascii="Times New Roman" w:hAnsi="Times New Roman"/>
                <w:szCs w:val="21"/>
              </w:rPr>
              <w:t>Zgodnie</w:t>
            </w:r>
            <w:r w:rsidRPr="00AA6A53">
              <w:rPr>
                <w:rFonts w:ascii="Times New Roman" w:hAnsi="Times New Roman"/>
                <w:szCs w:val="21"/>
              </w:rPr>
              <w:t xml:space="preserve"> bowiem z art. 110 ustawy o Policji funkcjonariuszowi za służbę pełnioną </w:t>
            </w:r>
            <w:r w:rsidR="00EE326B">
              <w:rPr>
                <w:rFonts w:ascii="Times New Roman" w:hAnsi="Times New Roman"/>
                <w:szCs w:val="21"/>
              </w:rPr>
              <w:br/>
            </w:r>
            <w:r w:rsidRPr="00AA6A53">
              <w:rPr>
                <w:rFonts w:ascii="Times New Roman" w:hAnsi="Times New Roman"/>
                <w:szCs w:val="21"/>
              </w:rPr>
              <w:t>w danym roku kalendarzowym przysługuje nagroda roczna w wysokości 1/12 uposażenia otrzymanego w roku kalendarzowym, za który nagroda przysługuje.</w:t>
            </w:r>
          </w:p>
        </w:tc>
      </w:tr>
      <w:tr w:rsidR="005970B5" w:rsidRPr="005A2E3E" w:rsidTr="007602B8">
        <w:trPr>
          <w:trHeight w:val="691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5A2E3E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5A2E3E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172C8A" w:rsidRPr="005A2E3E" w:rsidTr="007602B8">
        <w:trPr>
          <w:trHeight w:val="142"/>
        </w:trPr>
        <w:tc>
          <w:tcPr>
            <w:tcW w:w="3800" w:type="dxa"/>
            <w:gridSpan w:val="7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26" w:type="dxa"/>
            <w:gridSpan w:val="4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86" w:type="dxa"/>
            <w:gridSpan w:val="3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21" w:type="dxa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5A2E3E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5A2E3E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172C8A" w:rsidRPr="005A2E3E" w:rsidTr="007602B8">
        <w:trPr>
          <w:trHeight w:val="142"/>
        </w:trPr>
        <w:tc>
          <w:tcPr>
            <w:tcW w:w="1555" w:type="dxa"/>
            <w:vMerge w:val="restart"/>
            <w:shd w:val="clear" w:color="auto" w:fill="FFFFFF"/>
          </w:tcPr>
          <w:p w:rsidR="005970B5" w:rsidRPr="005A2E3E" w:rsidRDefault="005970B5" w:rsidP="006F78C4">
            <w:pPr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:rsidR="005970B5" w:rsidRPr="005A2E3E" w:rsidRDefault="005970B5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5970B5" w:rsidRPr="005A2E3E" w:rsidRDefault="00A62CE8" w:rsidP="006F78C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>ceny stałe z 2022</w:t>
            </w:r>
            <w:r w:rsidR="005970B5" w:rsidRPr="005A2E3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6" w:type="dxa"/>
            <w:gridSpan w:val="4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86" w:type="dxa"/>
            <w:gridSpan w:val="3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21" w:type="dxa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172C8A" w:rsidRPr="005A2E3E" w:rsidTr="007602B8">
        <w:trPr>
          <w:trHeight w:val="142"/>
        </w:trPr>
        <w:tc>
          <w:tcPr>
            <w:tcW w:w="1555" w:type="dxa"/>
            <w:vMerge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6" w:type="dxa"/>
            <w:gridSpan w:val="4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86" w:type="dxa"/>
            <w:gridSpan w:val="3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21" w:type="dxa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BD5F7C" w:rsidRPr="005A2E3E" w:rsidTr="007602B8">
        <w:trPr>
          <w:trHeight w:val="142"/>
        </w:trPr>
        <w:tc>
          <w:tcPr>
            <w:tcW w:w="1555" w:type="dxa"/>
            <w:vMerge/>
            <w:shd w:val="clear" w:color="auto" w:fill="FFFFFF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shd w:val="clear" w:color="auto" w:fill="FFFFFF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BD5F7C" w:rsidRPr="005A2E3E" w:rsidRDefault="00BD5F7C" w:rsidP="00BD5F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6" w:type="dxa"/>
            <w:gridSpan w:val="4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6" w:type="dxa"/>
            <w:gridSpan w:val="3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2" w:type="dxa"/>
            <w:gridSpan w:val="2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1" w:type="dxa"/>
            <w:shd w:val="clear" w:color="auto" w:fill="FFFFFF"/>
          </w:tcPr>
          <w:p w:rsidR="00BD5F7C" w:rsidRPr="005A2E3E" w:rsidRDefault="00BD5F7C" w:rsidP="00BD5F7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70B5" w:rsidRPr="005A2E3E" w:rsidTr="007602B8">
        <w:trPr>
          <w:trHeight w:val="142"/>
        </w:trPr>
        <w:tc>
          <w:tcPr>
            <w:tcW w:w="1555" w:type="dxa"/>
            <w:vMerge w:val="restart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861" w:type="dxa"/>
            <w:gridSpan w:val="17"/>
            <w:shd w:val="clear" w:color="auto" w:fill="FFFFFF"/>
          </w:tcPr>
          <w:p w:rsidR="005970B5" w:rsidRPr="005A2E3E" w:rsidRDefault="00214D9E" w:rsidP="00795C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5970B5" w:rsidRPr="005A2E3E" w:rsidTr="007602B8">
        <w:trPr>
          <w:trHeight w:val="142"/>
        </w:trPr>
        <w:tc>
          <w:tcPr>
            <w:tcW w:w="1555" w:type="dxa"/>
            <w:vMerge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861" w:type="dxa"/>
            <w:gridSpan w:val="17"/>
            <w:shd w:val="clear" w:color="auto" w:fill="FFFFFF"/>
          </w:tcPr>
          <w:p w:rsidR="005B1AAE" w:rsidRPr="005A2E3E" w:rsidRDefault="0004469F" w:rsidP="009C0131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</w:rPr>
              <w:t>Przedmiotowy projekt z uwagi na swój charakter nie zawiera regulacji dotyczących majątkowych praw i obowiązków przedsiębiorców lub praw</w:t>
            </w:r>
            <w:r w:rsidR="001B08DA" w:rsidRPr="005A2E3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1B08DA" w:rsidRPr="005A2E3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obowiązków przedsiębiorców wobec organów administracji publicznej,</w:t>
            </w:r>
            <w:r w:rsidR="001B08DA" w:rsidRPr="005A2E3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1B08DA" w:rsidRPr="005A2E3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zatem nie podlega obowiązkowi dokonania oceny przewidywanego wpływu proponowanych rozwiązań na działalność mikro</w:t>
            </w:r>
            <w:r w:rsidR="00744809" w:rsidRPr="005A2E3E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, małych i średnich przedsiębiorców, stosownie do przepisów ustawy z dnia 6 marca 2018 r.</w:t>
            </w:r>
            <w:r w:rsidR="001B08DA" w:rsidRPr="005A2E3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– Prawo przedsiębiorców</w:t>
            </w:r>
            <w:r w:rsidR="00693EBB" w:rsidRPr="005A2E3E">
              <w:rPr>
                <w:rFonts w:ascii="Times New Roman" w:hAnsi="Times New Roman"/>
                <w:color w:val="000000"/>
                <w:spacing w:val="-2"/>
              </w:rPr>
              <w:t xml:space="preserve"> (Dz. U. </w:t>
            </w:r>
            <w:r w:rsidR="008157C5" w:rsidRPr="005A2E3E">
              <w:rPr>
                <w:rFonts w:ascii="Times New Roman" w:hAnsi="Times New Roman"/>
                <w:color w:val="000000"/>
                <w:spacing w:val="-2"/>
              </w:rPr>
              <w:t>z 20</w:t>
            </w:r>
            <w:r w:rsidR="00B81F2E" w:rsidRPr="005A2E3E"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="008157C5" w:rsidRPr="005A2E3E">
              <w:rPr>
                <w:rFonts w:ascii="Times New Roman" w:hAnsi="Times New Roman"/>
                <w:color w:val="000000"/>
                <w:spacing w:val="-2"/>
              </w:rPr>
              <w:t xml:space="preserve"> r. </w:t>
            </w:r>
            <w:r w:rsidR="00693EBB" w:rsidRPr="005A2E3E">
              <w:rPr>
                <w:rFonts w:ascii="Times New Roman" w:hAnsi="Times New Roman"/>
                <w:color w:val="000000"/>
                <w:spacing w:val="-2"/>
              </w:rPr>
              <w:t xml:space="preserve">poz. </w:t>
            </w:r>
            <w:r w:rsidR="008157C5" w:rsidRPr="005A2E3E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B81F2E" w:rsidRPr="005A2E3E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8157C5" w:rsidRPr="005A2E3E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693EBB" w:rsidRPr="005A2E3E">
              <w:rPr>
                <w:rFonts w:ascii="Times New Roman" w:hAnsi="Times New Roman"/>
                <w:color w:val="000000"/>
                <w:spacing w:val="-2"/>
              </w:rPr>
              <w:t>, z późn. zm.)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970B5" w:rsidRPr="005A2E3E" w:rsidTr="007602B8">
        <w:trPr>
          <w:trHeight w:val="596"/>
        </w:trPr>
        <w:tc>
          <w:tcPr>
            <w:tcW w:w="1555" w:type="dxa"/>
            <w:vMerge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61" w:type="dxa"/>
            <w:gridSpan w:val="17"/>
            <w:shd w:val="clear" w:color="auto" w:fill="FFFFFF"/>
          </w:tcPr>
          <w:p w:rsidR="005970B5" w:rsidRPr="005A2E3E" w:rsidRDefault="00214D9E" w:rsidP="00795C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5970B5" w:rsidRPr="005A2E3E" w:rsidTr="007602B8">
        <w:trPr>
          <w:trHeight w:val="142"/>
        </w:trPr>
        <w:tc>
          <w:tcPr>
            <w:tcW w:w="1555" w:type="dxa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45" w:type="dxa"/>
            <w:gridSpan w:val="6"/>
            <w:shd w:val="clear" w:color="auto" w:fill="FFFFFF"/>
          </w:tcPr>
          <w:p w:rsidR="005970B5" w:rsidRPr="005A2E3E" w:rsidRDefault="005970B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5A2E3E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861" w:type="dxa"/>
            <w:gridSpan w:val="17"/>
            <w:shd w:val="clear" w:color="auto" w:fill="FFFFFF"/>
          </w:tcPr>
          <w:p w:rsidR="005970B5" w:rsidRPr="005A2E3E" w:rsidRDefault="00214D9E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  <w:p w:rsidR="00757D76" w:rsidRPr="005A2E3E" w:rsidRDefault="00757D76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70B5" w:rsidRPr="005A2E3E" w:rsidTr="007602B8">
        <w:trPr>
          <w:trHeight w:val="1277"/>
        </w:trPr>
        <w:tc>
          <w:tcPr>
            <w:tcW w:w="2184" w:type="dxa"/>
            <w:gridSpan w:val="2"/>
            <w:shd w:val="clear" w:color="auto" w:fill="FFFFFF"/>
          </w:tcPr>
          <w:p w:rsidR="00757D76" w:rsidRPr="005A2E3E" w:rsidRDefault="005970B5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477" w:type="dxa"/>
            <w:gridSpan w:val="22"/>
            <w:shd w:val="clear" w:color="auto" w:fill="FFFFFF"/>
            <w:vAlign w:val="center"/>
          </w:tcPr>
          <w:p w:rsidR="00B14962" w:rsidRDefault="00E45C99" w:rsidP="00B14962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>Nie przewiduje się</w:t>
            </w:r>
            <w:r w:rsidR="00097C5D" w:rsidRPr="005A2E3E">
              <w:rPr>
                <w:rFonts w:ascii="Times New Roman" w:hAnsi="Times New Roman"/>
              </w:rPr>
              <w:t xml:space="preserve"> wpływu </w:t>
            </w:r>
            <w:r w:rsidRPr="005A2E3E">
              <w:rPr>
                <w:rFonts w:ascii="Times New Roman" w:hAnsi="Times New Roman"/>
              </w:rPr>
              <w:t xml:space="preserve">projektowanej regulacji </w:t>
            </w:r>
            <w:r w:rsidR="00097C5D" w:rsidRPr="005A2E3E">
              <w:rPr>
                <w:rFonts w:ascii="Times New Roman" w:hAnsi="Times New Roman"/>
              </w:rPr>
              <w:t>na konkurencyjność gospodarki</w:t>
            </w:r>
            <w:r w:rsidR="00097C5D" w:rsidRPr="005A2E3E">
              <w:rPr>
                <w:rFonts w:ascii="Times New Roman" w:hAnsi="Times New Roman"/>
              </w:rPr>
              <w:br/>
              <w:t>i przedsiębiorczość, w tym na funkcjonowanie przedsiębiorców</w:t>
            </w:r>
            <w:r w:rsidR="00296C19" w:rsidRPr="005A2E3E">
              <w:rPr>
                <w:rFonts w:ascii="Times New Roman" w:hAnsi="Times New Roman"/>
              </w:rPr>
              <w:t>.</w:t>
            </w:r>
          </w:p>
          <w:p w:rsidR="005970B5" w:rsidRPr="005A2E3E" w:rsidRDefault="00296C19" w:rsidP="00B14962">
            <w:pPr>
              <w:spacing w:after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2E3E">
              <w:rPr>
                <w:rFonts w:ascii="Times New Roman" w:hAnsi="Times New Roman"/>
              </w:rPr>
              <w:t>Projektowane rozwiązania wpłyną na sytuację ekonomiczną i społeczną policjantów oraz ich rodzin przez zwiększenie środków finansowych możliwych do przeznaczenia na ich utrzymanie. Mogą także wpłynąć na sytuację osób niepełnosprawnych i osób starszych, jeżeli są członkami rodzin policjantów.</w:t>
            </w:r>
          </w:p>
        </w:tc>
      </w:tr>
      <w:tr w:rsidR="005970B5" w:rsidRPr="005A2E3E" w:rsidTr="007602B8">
        <w:trPr>
          <w:trHeight w:val="342"/>
        </w:trPr>
        <w:tc>
          <w:tcPr>
            <w:tcW w:w="10661" w:type="dxa"/>
            <w:gridSpan w:val="24"/>
            <w:shd w:val="clear" w:color="auto" w:fill="99CCFF"/>
            <w:vAlign w:val="center"/>
          </w:tcPr>
          <w:p w:rsidR="005970B5" w:rsidRPr="005A2E3E" w:rsidRDefault="005970B5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5970B5" w:rsidRPr="005A2E3E" w:rsidTr="007602B8">
        <w:trPr>
          <w:trHeight w:val="151"/>
        </w:trPr>
        <w:tc>
          <w:tcPr>
            <w:tcW w:w="10661" w:type="dxa"/>
            <w:gridSpan w:val="24"/>
            <w:shd w:val="clear" w:color="auto" w:fill="FFFFFF"/>
          </w:tcPr>
          <w:p w:rsidR="005970B5" w:rsidRPr="005A2E3E" w:rsidRDefault="005970B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970B5" w:rsidRPr="005A2E3E" w:rsidTr="007602B8">
        <w:trPr>
          <w:trHeight w:val="946"/>
        </w:trPr>
        <w:tc>
          <w:tcPr>
            <w:tcW w:w="5006" w:type="dxa"/>
            <w:gridSpan w:val="11"/>
            <w:shd w:val="clear" w:color="auto" w:fill="FFFFFF"/>
          </w:tcPr>
          <w:p w:rsidR="005970B5" w:rsidRPr="005A2E3E" w:rsidRDefault="005970B5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A2E3E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655" w:type="dxa"/>
            <w:gridSpan w:val="13"/>
            <w:shd w:val="clear" w:color="auto" w:fill="FFFFFF"/>
          </w:tcPr>
          <w:p w:rsidR="005970B5" w:rsidRPr="005A2E3E" w:rsidRDefault="005970B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970B5" w:rsidRPr="005A2E3E" w:rsidRDefault="005970B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5970B5" w:rsidRPr="005A2E3E" w:rsidRDefault="005970B5" w:rsidP="004F4E17">
            <w:pPr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970B5" w:rsidRPr="005A2E3E" w:rsidTr="007602B8">
        <w:trPr>
          <w:trHeight w:val="1245"/>
        </w:trPr>
        <w:tc>
          <w:tcPr>
            <w:tcW w:w="5006" w:type="dxa"/>
            <w:gridSpan w:val="11"/>
            <w:shd w:val="clear" w:color="auto" w:fill="FFFFFF"/>
          </w:tcPr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5970B5" w:rsidRPr="005A2E3E" w:rsidRDefault="005970B5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A2E3E">
              <w:rPr>
                <w:rFonts w:ascii="Times New Roman" w:hAnsi="Times New Roman"/>
                <w:color w:val="000000"/>
              </w:rPr>
            </w:r>
            <w:r w:rsidRPr="005A2E3E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55" w:type="dxa"/>
            <w:gridSpan w:val="13"/>
            <w:shd w:val="clear" w:color="auto" w:fill="FFFFFF"/>
          </w:tcPr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5970B5" w:rsidRPr="005A2E3E" w:rsidRDefault="005970B5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A2E3E">
              <w:rPr>
                <w:rFonts w:ascii="Times New Roman" w:hAnsi="Times New Roman"/>
                <w:color w:val="000000"/>
              </w:rPr>
            </w:r>
            <w:r w:rsidRPr="005A2E3E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/>
                <w:noProof/>
                <w:color w:val="000000"/>
              </w:rPr>
              <w:t> </w:t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5970B5" w:rsidRPr="005A2E3E" w:rsidTr="007602B8">
        <w:trPr>
          <w:trHeight w:val="870"/>
        </w:trPr>
        <w:tc>
          <w:tcPr>
            <w:tcW w:w="5006" w:type="dxa"/>
            <w:gridSpan w:val="11"/>
            <w:shd w:val="clear" w:color="auto" w:fill="FFFFFF"/>
          </w:tcPr>
          <w:p w:rsidR="005970B5" w:rsidRPr="005A2E3E" w:rsidRDefault="005970B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655" w:type="dxa"/>
            <w:gridSpan w:val="13"/>
            <w:shd w:val="clear" w:color="auto" w:fill="FFFFFF"/>
          </w:tcPr>
          <w:p w:rsidR="005970B5" w:rsidRPr="005A2E3E" w:rsidRDefault="005970B5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970B5" w:rsidRPr="005A2E3E" w:rsidRDefault="005970B5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A312CE" w:rsidRPr="005A2E3E" w:rsidRDefault="004357A8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nie dotyczy </w:t>
            </w:r>
          </w:p>
        </w:tc>
      </w:tr>
      <w:tr w:rsidR="005970B5" w:rsidRPr="005A2E3E" w:rsidTr="007602B8">
        <w:trPr>
          <w:trHeight w:val="330"/>
        </w:trPr>
        <w:tc>
          <w:tcPr>
            <w:tcW w:w="10661" w:type="dxa"/>
            <w:gridSpan w:val="24"/>
            <w:shd w:val="clear" w:color="auto" w:fill="FFFFFF"/>
          </w:tcPr>
          <w:p w:rsidR="00757D76" w:rsidRPr="005A2E3E" w:rsidRDefault="005970B5" w:rsidP="00323BC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t>Komentarz:</w:t>
            </w:r>
            <w:r w:rsidR="004357A8"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="00F517F7" w:rsidRPr="005A2E3E">
              <w:rPr>
                <w:rFonts w:ascii="Times New Roman" w:hAnsi="Times New Roman"/>
                <w:color w:val="000000"/>
              </w:rPr>
              <w:t>Brak.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auto"/>
          </w:tcPr>
          <w:p w:rsidR="002B0B36" w:rsidRDefault="00E45C99" w:rsidP="005A2E3E">
            <w:pPr>
              <w:spacing w:after="120"/>
              <w:jc w:val="both"/>
              <w:rPr>
                <w:rFonts w:ascii="Times New Roman" w:hAnsi="Times New Roman"/>
              </w:rPr>
            </w:pPr>
            <w:r w:rsidRPr="005A2E3E">
              <w:rPr>
                <w:rFonts w:ascii="Times New Roman" w:hAnsi="Times New Roman"/>
              </w:rPr>
              <w:t xml:space="preserve">Nie przewiduje się </w:t>
            </w:r>
            <w:r w:rsidR="0022725D" w:rsidRPr="005A2E3E">
              <w:rPr>
                <w:rFonts w:ascii="Times New Roman" w:hAnsi="Times New Roman"/>
              </w:rPr>
              <w:t xml:space="preserve">znaczącego </w:t>
            </w:r>
            <w:r w:rsidRPr="005A2E3E">
              <w:rPr>
                <w:rFonts w:ascii="Times New Roman" w:hAnsi="Times New Roman"/>
              </w:rPr>
              <w:t>wpływu</w:t>
            </w:r>
            <w:r w:rsidR="005970B5" w:rsidRPr="005A2E3E">
              <w:rPr>
                <w:rFonts w:ascii="Times New Roman" w:hAnsi="Times New Roman"/>
              </w:rPr>
              <w:t xml:space="preserve"> </w:t>
            </w:r>
            <w:r w:rsidR="003F0AC3" w:rsidRPr="005A2E3E">
              <w:rPr>
                <w:rFonts w:ascii="Times New Roman" w:hAnsi="Times New Roman"/>
              </w:rPr>
              <w:t>projektowane</w:t>
            </w:r>
            <w:r w:rsidRPr="005A2E3E">
              <w:rPr>
                <w:rFonts w:ascii="Times New Roman" w:hAnsi="Times New Roman"/>
              </w:rPr>
              <w:t xml:space="preserve">j regulacji </w:t>
            </w:r>
            <w:r w:rsidR="00C96D6D" w:rsidRPr="005A2E3E">
              <w:rPr>
                <w:rFonts w:ascii="Times New Roman" w:hAnsi="Times New Roman"/>
              </w:rPr>
              <w:t>na rynek pracy</w:t>
            </w:r>
            <w:r w:rsidR="008841E1" w:rsidRPr="005A2E3E">
              <w:rPr>
                <w:rFonts w:ascii="Times New Roman" w:hAnsi="Times New Roman"/>
              </w:rPr>
              <w:t xml:space="preserve">, natomiast zakłada się, że jej wejście </w:t>
            </w:r>
            <w:r w:rsidR="00231B31" w:rsidRPr="005A2E3E">
              <w:rPr>
                <w:rFonts w:ascii="Times New Roman" w:hAnsi="Times New Roman"/>
              </w:rPr>
              <w:br/>
            </w:r>
            <w:r w:rsidR="008841E1" w:rsidRPr="005A2E3E">
              <w:rPr>
                <w:rFonts w:ascii="Times New Roman" w:hAnsi="Times New Roman"/>
              </w:rPr>
              <w:t>w życie wpłynie na wzmocnienie atrakcyjności pełnienia służby w wymienionych jednostkach organizacyjnych Policji.</w:t>
            </w:r>
          </w:p>
          <w:p w:rsidR="00B14962" w:rsidRPr="005A2E3E" w:rsidRDefault="00B14962" w:rsidP="005A2E3E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970B5" w:rsidRPr="005A2E3E" w:rsidTr="007602B8">
        <w:trPr>
          <w:trHeight w:val="1031"/>
        </w:trPr>
        <w:tc>
          <w:tcPr>
            <w:tcW w:w="3462" w:type="dxa"/>
            <w:gridSpan w:val="5"/>
            <w:shd w:val="clear" w:color="auto" w:fill="FFFFFF"/>
          </w:tcPr>
          <w:p w:rsidR="005970B5" w:rsidRPr="005A2E3E" w:rsidRDefault="005970B5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970B5" w:rsidRPr="005A2E3E" w:rsidRDefault="00544945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</w:t>
            </w:r>
            <w:r w:rsidR="005970B5" w:rsidRPr="005A2E3E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757D76" w:rsidRPr="005A2E3E" w:rsidRDefault="00EB1A54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</w:rPr>
              <w:t xml:space="preserve"> sądy powszechne, administracyjne lub wojskowe</w:t>
            </w:r>
          </w:p>
        </w:tc>
        <w:tc>
          <w:tcPr>
            <w:tcW w:w="3513" w:type="dxa"/>
            <w:gridSpan w:val="12"/>
            <w:shd w:val="clear" w:color="auto" w:fill="FFFFFF"/>
          </w:tcPr>
          <w:p w:rsidR="005970B5" w:rsidRPr="005A2E3E" w:rsidRDefault="005970B5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970B5" w:rsidRPr="005A2E3E" w:rsidRDefault="005970B5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</w:rPr>
              <w:t>mienie państwowe</w:t>
            </w:r>
          </w:p>
          <w:p w:rsidR="00EB1A54" w:rsidRPr="005A2E3E" w:rsidRDefault="008841E1" w:rsidP="00EB1A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="00EB1A54" w:rsidRPr="005A2E3E">
              <w:rPr>
                <w:rFonts w:ascii="Times New Roman" w:hAnsi="Times New Roman"/>
                <w:color w:val="000000"/>
              </w:rPr>
              <w:t xml:space="preserve"> inne: </w:t>
            </w: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bezpieczeństwo"/>
                  </w:textInput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A2E3E">
              <w:rPr>
                <w:rFonts w:ascii="Times New Roman" w:hAnsi="Times New Roman"/>
                <w:color w:val="000000"/>
              </w:rPr>
            </w:r>
            <w:r w:rsidRPr="005A2E3E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noProof/>
                <w:color w:val="000000"/>
              </w:rPr>
              <w:t>bezpieczeństwo</w:t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</w:p>
          <w:p w:rsidR="00EB1A54" w:rsidRPr="005A2E3E" w:rsidRDefault="00EB1A54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gridSpan w:val="7"/>
            <w:shd w:val="clear" w:color="auto" w:fill="FFFFFF"/>
          </w:tcPr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5970B5" w:rsidRPr="005A2E3E" w:rsidRDefault="005970B5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3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2758">
              <w:rPr>
                <w:rFonts w:ascii="Times New Roman" w:hAnsi="Times New Roman"/>
                <w:color w:val="000000"/>
              </w:rPr>
            </w:r>
            <w:r w:rsidR="00DA2758">
              <w:rPr>
                <w:rFonts w:ascii="Times New Roman" w:hAnsi="Times New Roman"/>
                <w:color w:val="000000"/>
              </w:rPr>
              <w:fldChar w:fldCharType="separate"/>
            </w:r>
            <w:r w:rsidRPr="005A2E3E">
              <w:rPr>
                <w:rFonts w:ascii="Times New Roman" w:hAnsi="Times New Roman"/>
                <w:color w:val="000000"/>
              </w:rPr>
              <w:fldChar w:fldCharType="end"/>
            </w:r>
            <w:r w:rsidRPr="005A2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A2E3E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5970B5" w:rsidRPr="005A2E3E" w:rsidTr="007602B8">
        <w:trPr>
          <w:trHeight w:val="486"/>
        </w:trPr>
        <w:tc>
          <w:tcPr>
            <w:tcW w:w="2184" w:type="dxa"/>
            <w:gridSpan w:val="2"/>
            <w:shd w:val="clear" w:color="auto" w:fill="FFFFFF"/>
            <w:vAlign w:val="center"/>
          </w:tcPr>
          <w:p w:rsidR="005970B5" w:rsidRPr="005A2E3E" w:rsidRDefault="005970B5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2E3E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477" w:type="dxa"/>
            <w:gridSpan w:val="22"/>
            <w:shd w:val="clear" w:color="auto" w:fill="FFFFFF"/>
            <w:vAlign w:val="center"/>
          </w:tcPr>
          <w:p w:rsidR="00B14962" w:rsidRPr="005A2E3E" w:rsidRDefault="00C603FD" w:rsidP="000B5B2B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5A2E3E">
              <w:rPr>
                <w:rFonts w:ascii="Times New Roman" w:hAnsi="Times New Roman"/>
                <w:lang w:eastAsia="pl-PL"/>
              </w:rPr>
              <w:t xml:space="preserve">Zakłada się, że </w:t>
            </w:r>
            <w:r w:rsidR="003847C5" w:rsidRPr="005A2E3E">
              <w:rPr>
                <w:rFonts w:ascii="Times New Roman" w:hAnsi="Times New Roman"/>
                <w:lang w:eastAsia="pl-PL"/>
              </w:rPr>
              <w:t>ustanowienie nowych stawek uposażenia zasadniczego wyrażonych w posta</w:t>
            </w:r>
            <w:r w:rsidR="000F776F" w:rsidRPr="005A2E3E">
              <w:rPr>
                <w:rFonts w:ascii="Times New Roman" w:hAnsi="Times New Roman"/>
                <w:lang w:eastAsia="pl-PL"/>
              </w:rPr>
              <w:t>ci</w:t>
            </w:r>
            <w:r w:rsidR="003847C5" w:rsidRPr="005A2E3E">
              <w:rPr>
                <w:rFonts w:ascii="Times New Roman" w:hAnsi="Times New Roman"/>
                <w:lang w:eastAsia="pl-PL"/>
              </w:rPr>
              <w:t xml:space="preserve"> mnożników kwoty bazowej</w:t>
            </w:r>
            <w:r w:rsidR="000963CA" w:rsidRPr="005A2E3E">
              <w:rPr>
                <w:rFonts w:ascii="Times New Roman" w:hAnsi="Times New Roman"/>
                <w:lang w:eastAsia="pl-PL"/>
              </w:rPr>
              <w:t>,</w:t>
            </w:r>
            <w:r w:rsidR="00E87343" w:rsidRPr="005A2E3E">
              <w:rPr>
                <w:rFonts w:ascii="Times New Roman" w:hAnsi="Times New Roman"/>
                <w:lang w:eastAsia="pl-PL"/>
              </w:rPr>
              <w:t xml:space="preserve"> </w:t>
            </w:r>
            <w:r w:rsidRPr="005A2E3E">
              <w:rPr>
                <w:rFonts w:ascii="Times New Roman" w:hAnsi="Times New Roman"/>
                <w:lang w:eastAsia="pl-PL"/>
              </w:rPr>
              <w:t>wpłynie na wzmocnienie</w:t>
            </w:r>
            <w:r w:rsidR="00E87343" w:rsidRPr="005A2E3E">
              <w:rPr>
                <w:rFonts w:ascii="Times New Roman" w:hAnsi="Times New Roman"/>
                <w:lang w:eastAsia="pl-PL"/>
              </w:rPr>
              <w:t xml:space="preserve"> atrakcyjności pełnienia służby </w:t>
            </w:r>
            <w:r w:rsidRPr="005A2E3E">
              <w:rPr>
                <w:rFonts w:ascii="Times New Roman" w:hAnsi="Times New Roman"/>
                <w:lang w:eastAsia="pl-PL"/>
              </w:rPr>
              <w:t xml:space="preserve">w </w:t>
            </w:r>
            <w:r w:rsidR="00EE587E" w:rsidRPr="005A2E3E">
              <w:rPr>
                <w:rFonts w:ascii="Times New Roman" w:hAnsi="Times New Roman"/>
                <w:lang w:eastAsia="pl-PL"/>
              </w:rPr>
              <w:t>Policji. Zakłada się, że wejście w życie regulacji</w:t>
            </w:r>
            <w:r w:rsidRPr="005A2E3E">
              <w:rPr>
                <w:rFonts w:ascii="Times New Roman" w:hAnsi="Times New Roman"/>
                <w:lang w:eastAsia="pl-PL"/>
              </w:rPr>
              <w:t xml:space="preserve"> </w:t>
            </w:r>
            <w:r w:rsidR="00EE587E" w:rsidRPr="005A2E3E">
              <w:rPr>
                <w:rFonts w:ascii="Times New Roman" w:hAnsi="Times New Roman"/>
                <w:lang w:eastAsia="pl-PL"/>
              </w:rPr>
              <w:t xml:space="preserve">przyczyni się do </w:t>
            </w:r>
            <w:r w:rsidRPr="005A2E3E">
              <w:rPr>
                <w:rFonts w:ascii="Times New Roman" w:hAnsi="Times New Roman"/>
                <w:lang w:eastAsia="pl-PL"/>
              </w:rPr>
              <w:t>zmn</w:t>
            </w:r>
            <w:r w:rsidR="005203E4" w:rsidRPr="005A2E3E">
              <w:rPr>
                <w:rFonts w:ascii="Times New Roman" w:hAnsi="Times New Roman"/>
                <w:lang w:eastAsia="pl-PL"/>
              </w:rPr>
              <w:t xml:space="preserve">iejszenia </w:t>
            </w:r>
            <w:r w:rsidR="00EE587E" w:rsidRPr="005A2E3E">
              <w:rPr>
                <w:rFonts w:ascii="Times New Roman" w:hAnsi="Times New Roman"/>
                <w:lang w:eastAsia="pl-PL"/>
              </w:rPr>
              <w:t xml:space="preserve">liczby wakatów </w:t>
            </w:r>
            <w:r w:rsidR="003847C5" w:rsidRPr="005A2E3E">
              <w:rPr>
                <w:rFonts w:ascii="Times New Roman" w:hAnsi="Times New Roman"/>
                <w:lang w:eastAsia="pl-PL"/>
              </w:rPr>
              <w:br/>
            </w:r>
            <w:r w:rsidR="000963CA" w:rsidRPr="005A2E3E">
              <w:rPr>
                <w:rFonts w:ascii="Times New Roman" w:hAnsi="Times New Roman"/>
                <w:lang w:eastAsia="pl-PL"/>
              </w:rPr>
              <w:t xml:space="preserve">w jednostkach organizacyjnych Policji </w:t>
            </w:r>
            <w:r w:rsidR="00EE587E" w:rsidRPr="005A2E3E">
              <w:rPr>
                <w:rFonts w:ascii="Times New Roman" w:hAnsi="Times New Roman"/>
                <w:lang w:eastAsia="pl-PL"/>
              </w:rPr>
              <w:t>oraz</w:t>
            </w:r>
            <w:r w:rsidRPr="005A2E3E">
              <w:rPr>
                <w:rFonts w:ascii="Times New Roman" w:hAnsi="Times New Roman"/>
                <w:lang w:eastAsia="pl-PL"/>
              </w:rPr>
              <w:t xml:space="preserve"> </w:t>
            </w:r>
            <w:r w:rsidR="00EE587E" w:rsidRPr="005A2E3E">
              <w:rPr>
                <w:rFonts w:ascii="Times New Roman" w:hAnsi="Times New Roman"/>
                <w:bCs/>
                <w:lang w:eastAsia="pl-PL"/>
              </w:rPr>
              <w:t>zachęci funkcjonariuszy do kontynuowania służby w Policji</w:t>
            </w:r>
            <w:r w:rsidR="00EE587E" w:rsidRPr="005A2E3E">
              <w:rPr>
                <w:rFonts w:ascii="Times New Roman" w:hAnsi="Times New Roman"/>
                <w:lang w:eastAsia="pl-PL"/>
              </w:rPr>
              <w:t xml:space="preserve">, co </w:t>
            </w:r>
            <w:r w:rsidRPr="005A2E3E">
              <w:rPr>
                <w:rFonts w:ascii="Times New Roman" w:hAnsi="Times New Roman"/>
                <w:lang w:eastAsia="pl-PL"/>
              </w:rPr>
              <w:t>będzie miało pozytyw</w:t>
            </w:r>
            <w:r w:rsidR="00EE587E" w:rsidRPr="005A2E3E">
              <w:rPr>
                <w:rFonts w:ascii="Times New Roman" w:hAnsi="Times New Roman"/>
                <w:lang w:eastAsia="pl-PL"/>
              </w:rPr>
              <w:t>ny wpływ na stan bezpieczeństwa.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2E3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FFFFFF"/>
          </w:tcPr>
          <w:p w:rsidR="002B0B36" w:rsidRPr="005A2E3E" w:rsidRDefault="00C11654" w:rsidP="00F63E1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  <w:lang w:eastAsia="pl-PL"/>
              </w:rPr>
            </w:pPr>
            <w:r w:rsidRPr="005A2E3E">
              <w:rPr>
                <w:rFonts w:ascii="Times New Roman" w:hAnsi="Times New Roman"/>
                <w:spacing w:val="-2"/>
                <w:lang w:eastAsia="pl-PL"/>
              </w:rPr>
              <w:t>Planuje się, że r</w:t>
            </w:r>
            <w:r w:rsidR="00F63E1D" w:rsidRPr="005A2E3E">
              <w:rPr>
                <w:rFonts w:ascii="Times New Roman" w:hAnsi="Times New Roman"/>
                <w:spacing w:val="-2"/>
                <w:lang w:eastAsia="pl-PL"/>
              </w:rPr>
              <w:t>ozporządzenie wejdzie w życie z dniem 1 marca 2023 roku.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2E3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A2E3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5970B5" w:rsidRPr="005A2E3E" w:rsidTr="007602B8">
        <w:trPr>
          <w:trHeight w:val="238"/>
        </w:trPr>
        <w:tc>
          <w:tcPr>
            <w:tcW w:w="10661" w:type="dxa"/>
            <w:gridSpan w:val="24"/>
            <w:shd w:val="clear" w:color="auto" w:fill="FFFFFF"/>
          </w:tcPr>
          <w:p w:rsidR="002B0B36" w:rsidRPr="005A2E3E" w:rsidRDefault="008041C8" w:rsidP="009C0131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color w:val="000000"/>
                <w:spacing w:val="-2"/>
              </w:rPr>
              <w:t>Ze względu na charakter wprowadzanej regulacji nie jest planowana ewaluacja efektów projektu, a tym samym nie przewiduje się stosowania mierników ewaluacji.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99CCFF"/>
          </w:tcPr>
          <w:p w:rsidR="005970B5" w:rsidRPr="005A2E3E" w:rsidRDefault="005970B5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A2E3E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5A2E3E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5A2E3E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970B5" w:rsidRPr="005A2E3E" w:rsidTr="007602B8">
        <w:trPr>
          <w:trHeight w:val="142"/>
        </w:trPr>
        <w:tc>
          <w:tcPr>
            <w:tcW w:w="10661" w:type="dxa"/>
            <w:gridSpan w:val="24"/>
            <w:shd w:val="clear" w:color="auto" w:fill="FFFFFF"/>
          </w:tcPr>
          <w:p w:rsidR="002B0B36" w:rsidRPr="005A2E3E" w:rsidRDefault="006D0CBD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2E3E">
              <w:rPr>
                <w:rFonts w:ascii="Times New Roman" w:hAnsi="Times New Roman"/>
                <w:spacing w:val="-2"/>
              </w:rPr>
              <w:t>Brak</w:t>
            </w:r>
            <w:r w:rsidR="005F0198" w:rsidRPr="005A2E3E">
              <w:rPr>
                <w:rFonts w:ascii="Times New Roman" w:hAnsi="Times New Roman"/>
                <w:spacing w:val="-2"/>
              </w:rPr>
              <w:t>.</w:t>
            </w:r>
          </w:p>
        </w:tc>
      </w:tr>
    </w:tbl>
    <w:p w:rsidR="006176ED" w:rsidRPr="005A2E3E" w:rsidRDefault="006176ED" w:rsidP="001B08DA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A2E3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58" w:rsidRDefault="00DA2758" w:rsidP="00044739">
      <w:pPr>
        <w:spacing w:line="240" w:lineRule="auto"/>
      </w:pPr>
      <w:r>
        <w:separator/>
      </w:r>
    </w:p>
  </w:endnote>
  <w:endnote w:type="continuationSeparator" w:id="0">
    <w:p w:rsidR="00DA2758" w:rsidRDefault="00DA275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58" w:rsidRDefault="00DA2758" w:rsidP="00044739">
      <w:pPr>
        <w:spacing w:line="240" w:lineRule="auto"/>
      </w:pPr>
      <w:r>
        <w:separator/>
      </w:r>
    </w:p>
  </w:footnote>
  <w:footnote w:type="continuationSeparator" w:id="0">
    <w:p w:rsidR="00DA2758" w:rsidRDefault="00DA275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5B6F64"/>
    <w:multiLevelType w:val="hybridMultilevel"/>
    <w:tmpl w:val="1F7E8E8E"/>
    <w:lvl w:ilvl="0" w:tplc="BDD0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A30490"/>
    <w:multiLevelType w:val="hybridMultilevel"/>
    <w:tmpl w:val="61EABC2A"/>
    <w:lvl w:ilvl="0" w:tplc="41301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D53EA3"/>
    <w:multiLevelType w:val="hybridMultilevel"/>
    <w:tmpl w:val="1D3C1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9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20"/>
  </w:num>
  <w:num w:numId="15">
    <w:abstractNumId w:val="15"/>
  </w:num>
  <w:num w:numId="16">
    <w:abstractNumId w:val="18"/>
  </w:num>
  <w:num w:numId="17">
    <w:abstractNumId w:val="5"/>
  </w:num>
  <w:num w:numId="18">
    <w:abstractNumId w:val="21"/>
  </w:num>
  <w:num w:numId="19">
    <w:abstractNumId w:val="23"/>
  </w:num>
  <w:num w:numId="20">
    <w:abstractNumId w:val="17"/>
  </w:num>
  <w:num w:numId="21">
    <w:abstractNumId w:val="6"/>
  </w:num>
  <w:num w:numId="22">
    <w:abstractNumId w:val="16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570"/>
    <w:rsid w:val="000008E5"/>
    <w:rsid w:val="000012A4"/>
    <w:rsid w:val="000015EE"/>
    <w:rsid w:val="000022D5"/>
    <w:rsid w:val="00003DC5"/>
    <w:rsid w:val="00003DF4"/>
    <w:rsid w:val="00004C6A"/>
    <w:rsid w:val="000107C7"/>
    <w:rsid w:val="0001239B"/>
    <w:rsid w:val="00012D11"/>
    <w:rsid w:val="00013717"/>
    <w:rsid w:val="00013EB5"/>
    <w:rsid w:val="00014CED"/>
    <w:rsid w:val="000222F4"/>
    <w:rsid w:val="0002241B"/>
    <w:rsid w:val="00023836"/>
    <w:rsid w:val="000275BF"/>
    <w:rsid w:val="000356A9"/>
    <w:rsid w:val="000405AF"/>
    <w:rsid w:val="00040AAB"/>
    <w:rsid w:val="00044138"/>
    <w:rsid w:val="0004469F"/>
    <w:rsid w:val="00044739"/>
    <w:rsid w:val="00051637"/>
    <w:rsid w:val="00054499"/>
    <w:rsid w:val="00054D1D"/>
    <w:rsid w:val="00056681"/>
    <w:rsid w:val="00057648"/>
    <w:rsid w:val="00057C20"/>
    <w:rsid w:val="0006182E"/>
    <w:rsid w:val="000621F1"/>
    <w:rsid w:val="0006432F"/>
    <w:rsid w:val="000648A7"/>
    <w:rsid w:val="0006540A"/>
    <w:rsid w:val="00065CE9"/>
    <w:rsid w:val="0006618B"/>
    <w:rsid w:val="000670C0"/>
    <w:rsid w:val="00070D31"/>
    <w:rsid w:val="00071B99"/>
    <w:rsid w:val="000730E7"/>
    <w:rsid w:val="000731EC"/>
    <w:rsid w:val="000753A5"/>
    <w:rsid w:val="000756E5"/>
    <w:rsid w:val="0007601E"/>
    <w:rsid w:val="0007704E"/>
    <w:rsid w:val="00077E95"/>
    <w:rsid w:val="00080EC8"/>
    <w:rsid w:val="000822EB"/>
    <w:rsid w:val="00083EA7"/>
    <w:rsid w:val="00086994"/>
    <w:rsid w:val="00086BD0"/>
    <w:rsid w:val="00087775"/>
    <w:rsid w:val="00091820"/>
    <w:rsid w:val="000926A7"/>
    <w:rsid w:val="00092CD2"/>
    <w:rsid w:val="00093752"/>
    <w:rsid w:val="000944AC"/>
    <w:rsid w:val="00094CB9"/>
    <w:rsid w:val="000956B2"/>
    <w:rsid w:val="000963CA"/>
    <w:rsid w:val="000969E7"/>
    <w:rsid w:val="00097C5D"/>
    <w:rsid w:val="000A0A9A"/>
    <w:rsid w:val="000A23DE"/>
    <w:rsid w:val="000A2AE3"/>
    <w:rsid w:val="000A4020"/>
    <w:rsid w:val="000A45D1"/>
    <w:rsid w:val="000A7887"/>
    <w:rsid w:val="000A7A53"/>
    <w:rsid w:val="000B07A3"/>
    <w:rsid w:val="000B2B21"/>
    <w:rsid w:val="000B2D50"/>
    <w:rsid w:val="000B2D88"/>
    <w:rsid w:val="000B355D"/>
    <w:rsid w:val="000B3A5C"/>
    <w:rsid w:val="000B4621"/>
    <w:rsid w:val="000B4AA3"/>
    <w:rsid w:val="000B54FB"/>
    <w:rsid w:val="000B5B2B"/>
    <w:rsid w:val="000B5C1E"/>
    <w:rsid w:val="000B637E"/>
    <w:rsid w:val="000B7ACC"/>
    <w:rsid w:val="000C29B0"/>
    <w:rsid w:val="000C50C8"/>
    <w:rsid w:val="000C76FC"/>
    <w:rsid w:val="000D156C"/>
    <w:rsid w:val="000D1E01"/>
    <w:rsid w:val="000D38FC"/>
    <w:rsid w:val="000D3FA6"/>
    <w:rsid w:val="000D4D90"/>
    <w:rsid w:val="000E2D10"/>
    <w:rsid w:val="000E4183"/>
    <w:rsid w:val="000E5E1C"/>
    <w:rsid w:val="000F3204"/>
    <w:rsid w:val="000F3FF5"/>
    <w:rsid w:val="000F571E"/>
    <w:rsid w:val="000F59DE"/>
    <w:rsid w:val="000F6C0A"/>
    <w:rsid w:val="000F776F"/>
    <w:rsid w:val="000F7FFB"/>
    <w:rsid w:val="0010080E"/>
    <w:rsid w:val="001014F2"/>
    <w:rsid w:val="0010548B"/>
    <w:rsid w:val="00106BF4"/>
    <w:rsid w:val="001072D1"/>
    <w:rsid w:val="001117F6"/>
    <w:rsid w:val="0011374E"/>
    <w:rsid w:val="0011484E"/>
    <w:rsid w:val="00117017"/>
    <w:rsid w:val="00117032"/>
    <w:rsid w:val="00122314"/>
    <w:rsid w:val="001230AB"/>
    <w:rsid w:val="00123A0D"/>
    <w:rsid w:val="001249F9"/>
    <w:rsid w:val="00127061"/>
    <w:rsid w:val="00130E8E"/>
    <w:rsid w:val="0013216E"/>
    <w:rsid w:val="00134801"/>
    <w:rsid w:val="00134A0F"/>
    <w:rsid w:val="001401B5"/>
    <w:rsid w:val="0014075D"/>
    <w:rsid w:val="00141C91"/>
    <w:rsid w:val="001422B9"/>
    <w:rsid w:val="001428EB"/>
    <w:rsid w:val="0014642D"/>
    <w:rsid w:val="0014665F"/>
    <w:rsid w:val="00152ED5"/>
    <w:rsid w:val="00153464"/>
    <w:rsid w:val="001541B3"/>
    <w:rsid w:val="00155506"/>
    <w:rsid w:val="00155B15"/>
    <w:rsid w:val="001578DF"/>
    <w:rsid w:val="001625BE"/>
    <w:rsid w:val="00163232"/>
    <w:rsid w:val="001643A4"/>
    <w:rsid w:val="00164BFD"/>
    <w:rsid w:val="00164C21"/>
    <w:rsid w:val="0016543F"/>
    <w:rsid w:val="001724FA"/>
    <w:rsid w:val="001727BB"/>
    <w:rsid w:val="0017284D"/>
    <w:rsid w:val="00172C8A"/>
    <w:rsid w:val="001740F9"/>
    <w:rsid w:val="00175761"/>
    <w:rsid w:val="00177FBA"/>
    <w:rsid w:val="00180CF9"/>
    <w:rsid w:val="00180D25"/>
    <w:rsid w:val="0018318D"/>
    <w:rsid w:val="00183DD2"/>
    <w:rsid w:val="00184F0D"/>
    <w:rsid w:val="0018572C"/>
    <w:rsid w:val="00187E79"/>
    <w:rsid w:val="00187F0D"/>
    <w:rsid w:val="00192CC5"/>
    <w:rsid w:val="0019302A"/>
    <w:rsid w:val="001949EA"/>
    <w:rsid w:val="001956A7"/>
    <w:rsid w:val="00196E85"/>
    <w:rsid w:val="001A118A"/>
    <w:rsid w:val="001A1280"/>
    <w:rsid w:val="001A27F4"/>
    <w:rsid w:val="001A2D95"/>
    <w:rsid w:val="001A4F20"/>
    <w:rsid w:val="001A6B2E"/>
    <w:rsid w:val="001A7A5F"/>
    <w:rsid w:val="001A7A9E"/>
    <w:rsid w:val="001B08DA"/>
    <w:rsid w:val="001B3460"/>
    <w:rsid w:val="001B38AD"/>
    <w:rsid w:val="001B4447"/>
    <w:rsid w:val="001B4CA1"/>
    <w:rsid w:val="001B75D8"/>
    <w:rsid w:val="001C1060"/>
    <w:rsid w:val="001C272B"/>
    <w:rsid w:val="001C3C63"/>
    <w:rsid w:val="001C540E"/>
    <w:rsid w:val="001D1D62"/>
    <w:rsid w:val="001D4732"/>
    <w:rsid w:val="001D5473"/>
    <w:rsid w:val="001D6A3C"/>
    <w:rsid w:val="001D6D51"/>
    <w:rsid w:val="001D7D70"/>
    <w:rsid w:val="001D7DEF"/>
    <w:rsid w:val="001E0DFD"/>
    <w:rsid w:val="001E3FEA"/>
    <w:rsid w:val="001E401B"/>
    <w:rsid w:val="001E53E2"/>
    <w:rsid w:val="001E6520"/>
    <w:rsid w:val="001F3A2D"/>
    <w:rsid w:val="001F653A"/>
    <w:rsid w:val="001F6979"/>
    <w:rsid w:val="00200F0C"/>
    <w:rsid w:val="00201AAD"/>
    <w:rsid w:val="00202BC6"/>
    <w:rsid w:val="002033EF"/>
    <w:rsid w:val="002033F1"/>
    <w:rsid w:val="00205141"/>
    <w:rsid w:val="0020516B"/>
    <w:rsid w:val="002052BB"/>
    <w:rsid w:val="00206FF3"/>
    <w:rsid w:val="00207459"/>
    <w:rsid w:val="00207922"/>
    <w:rsid w:val="00213559"/>
    <w:rsid w:val="00213EFD"/>
    <w:rsid w:val="00214D9E"/>
    <w:rsid w:val="00215BA0"/>
    <w:rsid w:val="002172F1"/>
    <w:rsid w:val="00220443"/>
    <w:rsid w:val="002235FD"/>
    <w:rsid w:val="00223C7B"/>
    <w:rsid w:val="00224AB1"/>
    <w:rsid w:val="0022687A"/>
    <w:rsid w:val="00226C25"/>
    <w:rsid w:val="0022725D"/>
    <w:rsid w:val="00230728"/>
    <w:rsid w:val="002311F4"/>
    <w:rsid w:val="0023169B"/>
    <w:rsid w:val="00231B31"/>
    <w:rsid w:val="00234040"/>
    <w:rsid w:val="00235CD2"/>
    <w:rsid w:val="0024161D"/>
    <w:rsid w:val="00243052"/>
    <w:rsid w:val="0024616D"/>
    <w:rsid w:val="002478DD"/>
    <w:rsid w:val="00251A7E"/>
    <w:rsid w:val="00251A8E"/>
    <w:rsid w:val="00251E03"/>
    <w:rsid w:val="002546E0"/>
    <w:rsid w:val="00254DED"/>
    <w:rsid w:val="00255619"/>
    <w:rsid w:val="00255DAD"/>
    <w:rsid w:val="0025607D"/>
    <w:rsid w:val="00256108"/>
    <w:rsid w:val="00260F33"/>
    <w:rsid w:val="002613BD"/>
    <w:rsid w:val="0026221F"/>
    <w:rsid w:val="002622C3"/>
    <w:rsid w:val="002624F1"/>
    <w:rsid w:val="00266639"/>
    <w:rsid w:val="00270B66"/>
    <w:rsid w:val="00270C81"/>
    <w:rsid w:val="00271558"/>
    <w:rsid w:val="002724BE"/>
    <w:rsid w:val="002724E0"/>
    <w:rsid w:val="002729CB"/>
    <w:rsid w:val="00274862"/>
    <w:rsid w:val="00274959"/>
    <w:rsid w:val="002759AB"/>
    <w:rsid w:val="0028256B"/>
    <w:rsid w:val="00282D72"/>
    <w:rsid w:val="002830D2"/>
    <w:rsid w:val="00283402"/>
    <w:rsid w:val="0028539C"/>
    <w:rsid w:val="00290FD6"/>
    <w:rsid w:val="00291542"/>
    <w:rsid w:val="0029169F"/>
    <w:rsid w:val="00291716"/>
    <w:rsid w:val="00291D04"/>
    <w:rsid w:val="002934BA"/>
    <w:rsid w:val="00294259"/>
    <w:rsid w:val="00296C19"/>
    <w:rsid w:val="002A1554"/>
    <w:rsid w:val="002A1DBD"/>
    <w:rsid w:val="002A2C81"/>
    <w:rsid w:val="002A2E38"/>
    <w:rsid w:val="002A3647"/>
    <w:rsid w:val="002B0B36"/>
    <w:rsid w:val="002B35D8"/>
    <w:rsid w:val="002B3D1A"/>
    <w:rsid w:val="002B578F"/>
    <w:rsid w:val="002B6C10"/>
    <w:rsid w:val="002C0315"/>
    <w:rsid w:val="002C1536"/>
    <w:rsid w:val="002C27D0"/>
    <w:rsid w:val="002C2C9B"/>
    <w:rsid w:val="002C6CFF"/>
    <w:rsid w:val="002D0FFF"/>
    <w:rsid w:val="002D17D6"/>
    <w:rsid w:val="002D18D7"/>
    <w:rsid w:val="002D21CE"/>
    <w:rsid w:val="002D3C50"/>
    <w:rsid w:val="002E1954"/>
    <w:rsid w:val="002E3DA3"/>
    <w:rsid w:val="002E450F"/>
    <w:rsid w:val="002E6B38"/>
    <w:rsid w:val="002E6D63"/>
    <w:rsid w:val="002E6E2B"/>
    <w:rsid w:val="002F1DA1"/>
    <w:rsid w:val="002F2392"/>
    <w:rsid w:val="002F4D1A"/>
    <w:rsid w:val="002F500B"/>
    <w:rsid w:val="002F6331"/>
    <w:rsid w:val="00300991"/>
    <w:rsid w:val="00301959"/>
    <w:rsid w:val="0030285A"/>
    <w:rsid w:val="00305B8A"/>
    <w:rsid w:val="003124B0"/>
    <w:rsid w:val="00322F27"/>
    <w:rsid w:val="00323BC0"/>
    <w:rsid w:val="0032524D"/>
    <w:rsid w:val="003260FF"/>
    <w:rsid w:val="003272AD"/>
    <w:rsid w:val="003319D0"/>
    <w:rsid w:val="00331BF9"/>
    <w:rsid w:val="0033495E"/>
    <w:rsid w:val="00334A79"/>
    <w:rsid w:val="00334B2C"/>
    <w:rsid w:val="00334D8D"/>
    <w:rsid w:val="00337345"/>
    <w:rsid w:val="00337DD2"/>
    <w:rsid w:val="003404D1"/>
    <w:rsid w:val="0034314D"/>
    <w:rsid w:val="00343D74"/>
    <w:rsid w:val="00344320"/>
    <w:rsid w:val="003443FF"/>
    <w:rsid w:val="003468BB"/>
    <w:rsid w:val="00353B6C"/>
    <w:rsid w:val="00355808"/>
    <w:rsid w:val="0035647B"/>
    <w:rsid w:val="0036099F"/>
    <w:rsid w:val="00360F4F"/>
    <w:rsid w:val="0036290D"/>
    <w:rsid w:val="00362C7E"/>
    <w:rsid w:val="0036302C"/>
    <w:rsid w:val="00363309"/>
    <w:rsid w:val="00363601"/>
    <w:rsid w:val="00367885"/>
    <w:rsid w:val="003719FC"/>
    <w:rsid w:val="00372362"/>
    <w:rsid w:val="0037353F"/>
    <w:rsid w:val="00374368"/>
    <w:rsid w:val="00375FAA"/>
    <w:rsid w:val="00376AC9"/>
    <w:rsid w:val="00377B87"/>
    <w:rsid w:val="00381047"/>
    <w:rsid w:val="00381A59"/>
    <w:rsid w:val="003847C5"/>
    <w:rsid w:val="00386F0F"/>
    <w:rsid w:val="00386F32"/>
    <w:rsid w:val="00390988"/>
    <w:rsid w:val="00391502"/>
    <w:rsid w:val="00393032"/>
    <w:rsid w:val="00394B69"/>
    <w:rsid w:val="0039553F"/>
    <w:rsid w:val="00396B09"/>
    <w:rsid w:val="00397078"/>
    <w:rsid w:val="003A0B28"/>
    <w:rsid w:val="003A0F30"/>
    <w:rsid w:val="003A673B"/>
    <w:rsid w:val="003A6953"/>
    <w:rsid w:val="003A73D3"/>
    <w:rsid w:val="003A74D3"/>
    <w:rsid w:val="003B1AB6"/>
    <w:rsid w:val="003B362E"/>
    <w:rsid w:val="003B57A6"/>
    <w:rsid w:val="003B6083"/>
    <w:rsid w:val="003B6A5F"/>
    <w:rsid w:val="003B791E"/>
    <w:rsid w:val="003B7F82"/>
    <w:rsid w:val="003C10A1"/>
    <w:rsid w:val="003C3838"/>
    <w:rsid w:val="003C3E59"/>
    <w:rsid w:val="003C41C9"/>
    <w:rsid w:val="003C5847"/>
    <w:rsid w:val="003C5BBF"/>
    <w:rsid w:val="003C6ADE"/>
    <w:rsid w:val="003D0681"/>
    <w:rsid w:val="003D0DC0"/>
    <w:rsid w:val="003D0E5A"/>
    <w:rsid w:val="003D12F6"/>
    <w:rsid w:val="003D1426"/>
    <w:rsid w:val="003D1CA1"/>
    <w:rsid w:val="003D363B"/>
    <w:rsid w:val="003D7203"/>
    <w:rsid w:val="003D7B7C"/>
    <w:rsid w:val="003D7CC0"/>
    <w:rsid w:val="003E2F4E"/>
    <w:rsid w:val="003E4088"/>
    <w:rsid w:val="003E720A"/>
    <w:rsid w:val="003F0AC3"/>
    <w:rsid w:val="003F2705"/>
    <w:rsid w:val="003F28A5"/>
    <w:rsid w:val="003F2A25"/>
    <w:rsid w:val="003F5925"/>
    <w:rsid w:val="003F6895"/>
    <w:rsid w:val="00402371"/>
    <w:rsid w:val="00402467"/>
    <w:rsid w:val="00403857"/>
    <w:rsid w:val="00403D8C"/>
    <w:rsid w:val="00403E6E"/>
    <w:rsid w:val="00405033"/>
    <w:rsid w:val="00405237"/>
    <w:rsid w:val="00412383"/>
    <w:rsid w:val="004129B4"/>
    <w:rsid w:val="004136C7"/>
    <w:rsid w:val="00413D0F"/>
    <w:rsid w:val="00415905"/>
    <w:rsid w:val="00417EF0"/>
    <w:rsid w:val="0042001D"/>
    <w:rsid w:val="004210B5"/>
    <w:rsid w:val="00422181"/>
    <w:rsid w:val="004235E3"/>
    <w:rsid w:val="00423D2D"/>
    <w:rsid w:val="00423F71"/>
    <w:rsid w:val="004244A8"/>
    <w:rsid w:val="00425F72"/>
    <w:rsid w:val="00425F7F"/>
    <w:rsid w:val="00427736"/>
    <w:rsid w:val="004303C4"/>
    <w:rsid w:val="004357A8"/>
    <w:rsid w:val="00437165"/>
    <w:rsid w:val="00440224"/>
    <w:rsid w:val="004405E6"/>
    <w:rsid w:val="00441787"/>
    <w:rsid w:val="00444DEE"/>
    <w:rsid w:val="00444F2D"/>
    <w:rsid w:val="00450689"/>
    <w:rsid w:val="00452034"/>
    <w:rsid w:val="004526DB"/>
    <w:rsid w:val="004538B3"/>
    <w:rsid w:val="00454753"/>
    <w:rsid w:val="00455FA6"/>
    <w:rsid w:val="00457B0E"/>
    <w:rsid w:val="0046572D"/>
    <w:rsid w:val="00466C70"/>
    <w:rsid w:val="004672EF"/>
    <w:rsid w:val="00467857"/>
    <w:rsid w:val="00467E67"/>
    <w:rsid w:val="004702C9"/>
    <w:rsid w:val="00472E45"/>
    <w:rsid w:val="00473FEA"/>
    <w:rsid w:val="0047501A"/>
    <w:rsid w:val="0047579D"/>
    <w:rsid w:val="00480DC9"/>
    <w:rsid w:val="00483262"/>
    <w:rsid w:val="004836B0"/>
    <w:rsid w:val="00483781"/>
    <w:rsid w:val="00484107"/>
    <w:rsid w:val="00485247"/>
    <w:rsid w:val="00485CC5"/>
    <w:rsid w:val="004862F3"/>
    <w:rsid w:val="0049343F"/>
    <w:rsid w:val="00494CED"/>
    <w:rsid w:val="00495C48"/>
    <w:rsid w:val="004964FC"/>
    <w:rsid w:val="004A0D53"/>
    <w:rsid w:val="004A145E"/>
    <w:rsid w:val="004A1F15"/>
    <w:rsid w:val="004A2A81"/>
    <w:rsid w:val="004A43AC"/>
    <w:rsid w:val="004A4621"/>
    <w:rsid w:val="004A7BD7"/>
    <w:rsid w:val="004B43CC"/>
    <w:rsid w:val="004B6395"/>
    <w:rsid w:val="004B7D3A"/>
    <w:rsid w:val="004C1166"/>
    <w:rsid w:val="004C15C2"/>
    <w:rsid w:val="004C21CA"/>
    <w:rsid w:val="004C322A"/>
    <w:rsid w:val="004C36D8"/>
    <w:rsid w:val="004D1248"/>
    <w:rsid w:val="004D1E3C"/>
    <w:rsid w:val="004D4169"/>
    <w:rsid w:val="004D4AA0"/>
    <w:rsid w:val="004D6E14"/>
    <w:rsid w:val="004D77F2"/>
    <w:rsid w:val="004D79C6"/>
    <w:rsid w:val="004E0081"/>
    <w:rsid w:val="004E15BB"/>
    <w:rsid w:val="004E1A8A"/>
    <w:rsid w:val="004E261A"/>
    <w:rsid w:val="004E7EB7"/>
    <w:rsid w:val="004F06B4"/>
    <w:rsid w:val="004F0E56"/>
    <w:rsid w:val="004F38DC"/>
    <w:rsid w:val="004F4E17"/>
    <w:rsid w:val="0050082F"/>
    <w:rsid w:val="00500C56"/>
    <w:rsid w:val="00501713"/>
    <w:rsid w:val="0050215A"/>
    <w:rsid w:val="00502565"/>
    <w:rsid w:val="00506568"/>
    <w:rsid w:val="00511CE1"/>
    <w:rsid w:val="00512577"/>
    <w:rsid w:val="005148C0"/>
    <w:rsid w:val="0051551B"/>
    <w:rsid w:val="00517514"/>
    <w:rsid w:val="00517841"/>
    <w:rsid w:val="005203E4"/>
    <w:rsid w:val="005203FF"/>
    <w:rsid w:val="00520C57"/>
    <w:rsid w:val="00522D94"/>
    <w:rsid w:val="00532A98"/>
    <w:rsid w:val="00533D89"/>
    <w:rsid w:val="00536564"/>
    <w:rsid w:val="0053668D"/>
    <w:rsid w:val="00540EE7"/>
    <w:rsid w:val="00544597"/>
    <w:rsid w:val="005445F3"/>
    <w:rsid w:val="00544945"/>
    <w:rsid w:val="00544E77"/>
    <w:rsid w:val="00544FFE"/>
    <w:rsid w:val="005465B2"/>
    <w:rsid w:val="005468D2"/>
    <w:rsid w:val="005473F5"/>
    <w:rsid w:val="00547701"/>
    <w:rsid w:val="005477E7"/>
    <w:rsid w:val="00547EF3"/>
    <w:rsid w:val="00552794"/>
    <w:rsid w:val="005528D9"/>
    <w:rsid w:val="00552ED6"/>
    <w:rsid w:val="0055328D"/>
    <w:rsid w:val="0055501C"/>
    <w:rsid w:val="00556C0E"/>
    <w:rsid w:val="00556CD9"/>
    <w:rsid w:val="005573FA"/>
    <w:rsid w:val="00560C4D"/>
    <w:rsid w:val="005617AC"/>
    <w:rsid w:val="00563199"/>
    <w:rsid w:val="00564874"/>
    <w:rsid w:val="00567963"/>
    <w:rsid w:val="0057009A"/>
    <w:rsid w:val="00571260"/>
    <w:rsid w:val="0057179D"/>
    <w:rsid w:val="0057189C"/>
    <w:rsid w:val="00573F9B"/>
    <w:rsid w:val="00573FC1"/>
    <w:rsid w:val="005741EE"/>
    <w:rsid w:val="0057551A"/>
    <w:rsid w:val="0057668E"/>
    <w:rsid w:val="00576A2A"/>
    <w:rsid w:val="00577A68"/>
    <w:rsid w:val="005835BC"/>
    <w:rsid w:val="00583791"/>
    <w:rsid w:val="00584B15"/>
    <w:rsid w:val="00587ACB"/>
    <w:rsid w:val="00594E93"/>
    <w:rsid w:val="00595E83"/>
    <w:rsid w:val="00596530"/>
    <w:rsid w:val="005967F3"/>
    <w:rsid w:val="005970B5"/>
    <w:rsid w:val="005A06DF"/>
    <w:rsid w:val="005A1F07"/>
    <w:rsid w:val="005A2E3E"/>
    <w:rsid w:val="005A5527"/>
    <w:rsid w:val="005A5AE6"/>
    <w:rsid w:val="005B1206"/>
    <w:rsid w:val="005B1AAE"/>
    <w:rsid w:val="005B2BE6"/>
    <w:rsid w:val="005B37E8"/>
    <w:rsid w:val="005B3D3E"/>
    <w:rsid w:val="005B6BA8"/>
    <w:rsid w:val="005C0056"/>
    <w:rsid w:val="005C165E"/>
    <w:rsid w:val="005C29D5"/>
    <w:rsid w:val="005C4637"/>
    <w:rsid w:val="005C6220"/>
    <w:rsid w:val="005D1CBA"/>
    <w:rsid w:val="005D25E3"/>
    <w:rsid w:val="005D2B83"/>
    <w:rsid w:val="005D308F"/>
    <w:rsid w:val="005D309E"/>
    <w:rsid w:val="005D4E2B"/>
    <w:rsid w:val="005D61D6"/>
    <w:rsid w:val="005D666B"/>
    <w:rsid w:val="005D76A6"/>
    <w:rsid w:val="005E09DE"/>
    <w:rsid w:val="005E0D13"/>
    <w:rsid w:val="005E1207"/>
    <w:rsid w:val="005E28F9"/>
    <w:rsid w:val="005E4AAC"/>
    <w:rsid w:val="005E5047"/>
    <w:rsid w:val="005E5501"/>
    <w:rsid w:val="005E7205"/>
    <w:rsid w:val="005E7371"/>
    <w:rsid w:val="005E7CA7"/>
    <w:rsid w:val="005F0198"/>
    <w:rsid w:val="005F116C"/>
    <w:rsid w:val="005F2131"/>
    <w:rsid w:val="005F3BC8"/>
    <w:rsid w:val="00601F29"/>
    <w:rsid w:val="0060384B"/>
    <w:rsid w:val="00604559"/>
    <w:rsid w:val="00605EF6"/>
    <w:rsid w:val="00606455"/>
    <w:rsid w:val="00607FC7"/>
    <w:rsid w:val="006132B8"/>
    <w:rsid w:val="00613B0A"/>
    <w:rsid w:val="00614929"/>
    <w:rsid w:val="00616511"/>
    <w:rsid w:val="006176ED"/>
    <w:rsid w:val="0061771F"/>
    <w:rsid w:val="006202F3"/>
    <w:rsid w:val="0062097A"/>
    <w:rsid w:val="00621DA6"/>
    <w:rsid w:val="006228E7"/>
    <w:rsid w:val="00623CFE"/>
    <w:rsid w:val="00624593"/>
    <w:rsid w:val="00627221"/>
    <w:rsid w:val="00627EE8"/>
    <w:rsid w:val="006316FA"/>
    <w:rsid w:val="00633E8E"/>
    <w:rsid w:val="00634212"/>
    <w:rsid w:val="0063655F"/>
    <w:rsid w:val="0063692B"/>
    <w:rsid w:val="006370D2"/>
    <w:rsid w:val="0064074F"/>
    <w:rsid w:val="00641F55"/>
    <w:rsid w:val="0064290A"/>
    <w:rsid w:val="00645E4A"/>
    <w:rsid w:val="00646831"/>
    <w:rsid w:val="00651F95"/>
    <w:rsid w:val="006529B2"/>
    <w:rsid w:val="00652F3D"/>
    <w:rsid w:val="0065366E"/>
    <w:rsid w:val="00653688"/>
    <w:rsid w:val="00653750"/>
    <w:rsid w:val="006579B6"/>
    <w:rsid w:val="0066091B"/>
    <w:rsid w:val="006660E9"/>
    <w:rsid w:val="00667249"/>
    <w:rsid w:val="00667558"/>
    <w:rsid w:val="00671523"/>
    <w:rsid w:val="00672464"/>
    <w:rsid w:val="006750E8"/>
    <w:rsid w:val="006754EF"/>
    <w:rsid w:val="0067581A"/>
    <w:rsid w:val="0067660C"/>
    <w:rsid w:val="00676C8D"/>
    <w:rsid w:val="00676F1F"/>
    <w:rsid w:val="00677381"/>
    <w:rsid w:val="00677414"/>
    <w:rsid w:val="00680BFD"/>
    <w:rsid w:val="00681AE8"/>
    <w:rsid w:val="006832CF"/>
    <w:rsid w:val="00684006"/>
    <w:rsid w:val="0068558E"/>
    <w:rsid w:val="0068601E"/>
    <w:rsid w:val="00690A04"/>
    <w:rsid w:val="00691670"/>
    <w:rsid w:val="006931D1"/>
    <w:rsid w:val="00693EBB"/>
    <w:rsid w:val="0069486B"/>
    <w:rsid w:val="0069698F"/>
    <w:rsid w:val="006A238E"/>
    <w:rsid w:val="006A4904"/>
    <w:rsid w:val="006A4C35"/>
    <w:rsid w:val="006A548F"/>
    <w:rsid w:val="006A701A"/>
    <w:rsid w:val="006A7F88"/>
    <w:rsid w:val="006B64DC"/>
    <w:rsid w:val="006B6FAB"/>
    <w:rsid w:val="006B7A91"/>
    <w:rsid w:val="006C06B7"/>
    <w:rsid w:val="006C109F"/>
    <w:rsid w:val="006C33E3"/>
    <w:rsid w:val="006C570E"/>
    <w:rsid w:val="006D0CBD"/>
    <w:rsid w:val="006D2B82"/>
    <w:rsid w:val="006D46EC"/>
    <w:rsid w:val="006D4704"/>
    <w:rsid w:val="006D4899"/>
    <w:rsid w:val="006D4D52"/>
    <w:rsid w:val="006D6A2D"/>
    <w:rsid w:val="006D6EF7"/>
    <w:rsid w:val="006D7396"/>
    <w:rsid w:val="006E00C0"/>
    <w:rsid w:val="006E03E8"/>
    <w:rsid w:val="006E1E18"/>
    <w:rsid w:val="006E31CE"/>
    <w:rsid w:val="006E34D3"/>
    <w:rsid w:val="006E4D9D"/>
    <w:rsid w:val="006F1435"/>
    <w:rsid w:val="006F2206"/>
    <w:rsid w:val="006F4012"/>
    <w:rsid w:val="006F78C4"/>
    <w:rsid w:val="00701C20"/>
    <w:rsid w:val="007031A0"/>
    <w:rsid w:val="0070385B"/>
    <w:rsid w:val="0070456F"/>
    <w:rsid w:val="00705A29"/>
    <w:rsid w:val="00706731"/>
    <w:rsid w:val="00707498"/>
    <w:rsid w:val="00711332"/>
    <w:rsid w:val="007117A1"/>
    <w:rsid w:val="00711A65"/>
    <w:rsid w:val="00714133"/>
    <w:rsid w:val="00714DA4"/>
    <w:rsid w:val="0071574D"/>
    <w:rsid w:val="007158B2"/>
    <w:rsid w:val="00716081"/>
    <w:rsid w:val="00716383"/>
    <w:rsid w:val="00717D3F"/>
    <w:rsid w:val="007210B2"/>
    <w:rsid w:val="00722B48"/>
    <w:rsid w:val="00724164"/>
    <w:rsid w:val="00725DE7"/>
    <w:rsid w:val="0072636A"/>
    <w:rsid w:val="00726896"/>
    <w:rsid w:val="00726B44"/>
    <w:rsid w:val="00726F9F"/>
    <w:rsid w:val="00731007"/>
    <w:rsid w:val="007318DD"/>
    <w:rsid w:val="00733167"/>
    <w:rsid w:val="00734A5E"/>
    <w:rsid w:val="00734A94"/>
    <w:rsid w:val="0073685E"/>
    <w:rsid w:val="00740D2C"/>
    <w:rsid w:val="0074295B"/>
    <w:rsid w:val="00744809"/>
    <w:rsid w:val="00744BF9"/>
    <w:rsid w:val="007519A0"/>
    <w:rsid w:val="00752623"/>
    <w:rsid w:val="00756F45"/>
    <w:rsid w:val="00757C9C"/>
    <w:rsid w:val="00757D76"/>
    <w:rsid w:val="007602B8"/>
    <w:rsid w:val="00760ADA"/>
    <w:rsid w:val="00760CC7"/>
    <w:rsid w:val="00760F1F"/>
    <w:rsid w:val="0076423E"/>
    <w:rsid w:val="007646CB"/>
    <w:rsid w:val="00764886"/>
    <w:rsid w:val="00764C41"/>
    <w:rsid w:val="00765177"/>
    <w:rsid w:val="00765A1E"/>
    <w:rsid w:val="0076658F"/>
    <w:rsid w:val="0077040A"/>
    <w:rsid w:val="00771126"/>
    <w:rsid w:val="00772D64"/>
    <w:rsid w:val="00783613"/>
    <w:rsid w:val="007847B4"/>
    <w:rsid w:val="007901FE"/>
    <w:rsid w:val="00790AE4"/>
    <w:rsid w:val="00792609"/>
    <w:rsid w:val="00792887"/>
    <w:rsid w:val="007943E2"/>
    <w:rsid w:val="00794F2C"/>
    <w:rsid w:val="00795C3F"/>
    <w:rsid w:val="007A1138"/>
    <w:rsid w:val="007A3236"/>
    <w:rsid w:val="007A3BC7"/>
    <w:rsid w:val="007A5AC4"/>
    <w:rsid w:val="007A697B"/>
    <w:rsid w:val="007A7C9A"/>
    <w:rsid w:val="007B0FDD"/>
    <w:rsid w:val="007B21EE"/>
    <w:rsid w:val="007B2E2B"/>
    <w:rsid w:val="007B2EBF"/>
    <w:rsid w:val="007B36DF"/>
    <w:rsid w:val="007B4802"/>
    <w:rsid w:val="007B4AB0"/>
    <w:rsid w:val="007B4E48"/>
    <w:rsid w:val="007B6668"/>
    <w:rsid w:val="007B6B33"/>
    <w:rsid w:val="007B70E6"/>
    <w:rsid w:val="007C0E59"/>
    <w:rsid w:val="007C14D0"/>
    <w:rsid w:val="007C2701"/>
    <w:rsid w:val="007C65F3"/>
    <w:rsid w:val="007C6612"/>
    <w:rsid w:val="007C7504"/>
    <w:rsid w:val="007D0634"/>
    <w:rsid w:val="007D2192"/>
    <w:rsid w:val="007D21C3"/>
    <w:rsid w:val="007D2782"/>
    <w:rsid w:val="007D2BB9"/>
    <w:rsid w:val="007D4907"/>
    <w:rsid w:val="007D60CB"/>
    <w:rsid w:val="007D747A"/>
    <w:rsid w:val="007E3A01"/>
    <w:rsid w:val="007E7326"/>
    <w:rsid w:val="007F0021"/>
    <w:rsid w:val="007F233C"/>
    <w:rsid w:val="007F2F52"/>
    <w:rsid w:val="007F3831"/>
    <w:rsid w:val="007F783B"/>
    <w:rsid w:val="00801B48"/>
    <w:rsid w:val="00801F71"/>
    <w:rsid w:val="00803349"/>
    <w:rsid w:val="00803741"/>
    <w:rsid w:val="008041C8"/>
    <w:rsid w:val="00805C77"/>
    <w:rsid w:val="00805F28"/>
    <w:rsid w:val="008063CD"/>
    <w:rsid w:val="0080749F"/>
    <w:rsid w:val="00811D46"/>
    <w:rsid w:val="008125B0"/>
    <w:rsid w:val="00812B2C"/>
    <w:rsid w:val="008144CB"/>
    <w:rsid w:val="008157C5"/>
    <w:rsid w:val="00816F79"/>
    <w:rsid w:val="0082111E"/>
    <w:rsid w:val="0082138A"/>
    <w:rsid w:val="00821717"/>
    <w:rsid w:val="00822BAF"/>
    <w:rsid w:val="00824210"/>
    <w:rsid w:val="008263C0"/>
    <w:rsid w:val="00830BE6"/>
    <w:rsid w:val="008314E9"/>
    <w:rsid w:val="00832A91"/>
    <w:rsid w:val="00836915"/>
    <w:rsid w:val="00837718"/>
    <w:rsid w:val="00837918"/>
    <w:rsid w:val="00837BE0"/>
    <w:rsid w:val="008402AF"/>
    <w:rsid w:val="00840EAC"/>
    <w:rsid w:val="00841422"/>
    <w:rsid w:val="00841D3B"/>
    <w:rsid w:val="0084314C"/>
    <w:rsid w:val="00843171"/>
    <w:rsid w:val="008451A2"/>
    <w:rsid w:val="00846624"/>
    <w:rsid w:val="00850EDC"/>
    <w:rsid w:val="0085193F"/>
    <w:rsid w:val="008559C4"/>
    <w:rsid w:val="00855B9E"/>
    <w:rsid w:val="008575C3"/>
    <w:rsid w:val="00857830"/>
    <w:rsid w:val="00862779"/>
    <w:rsid w:val="00863D28"/>
    <w:rsid w:val="008648C3"/>
    <w:rsid w:val="00865D78"/>
    <w:rsid w:val="008668C1"/>
    <w:rsid w:val="0087050B"/>
    <w:rsid w:val="00871B51"/>
    <w:rsid w:val="0087398F"/>
    <w:rsid w:val="008775DB"/>
    <w:rsid w:val="00880B7E"/>
    <w:rsid w:val="00880E1B"/>
    <w:rsid w:val="00880F26"/>
    <w:rsid w:val="008817FF"/>
    <w:rsid w:val="008841E1"/>
    <w:rsid w:val="0088793E"/>
    <w:rsid w:val="00890508"/>
    <w:rsid w:val="0089587A"/>
    <w:rsid w:val="00896C2E"/>
    <w:rsid w:val="008A0B45"/>
    <w:rsid w:val="008A0B6C"/>
    <w:rsid w:val="008A3BD6"/>
    <w:rsid w:val="008A5095"/>
    <w:rsid w:val="008A608F"/>
    <w:rsid w:val="008B16AE"/>
    <w:rsid w:val="008B1A9A"/>
    <w:rsid w:val="008B2563"/>
    <w:rsid w:val="008B3BAA"/>
    <w:rsid w:val="008B4FE6"/>
    <w:rsid w:val="008B5DD7"/>
    <w:rsid w:val="008B6504"/>
    <w:rsid w:val="008B6C37"/>
    <w:rsid w:val="008B7156"/>
    <w:rsid w:val="008B76E1"/>
    <w:rsid w:val="008C4FC1"/>
    <w:rsid w:val="008D15AE"/>
    <w:rsid w:val="008D5C10"/>
    <w:rsid w:val="008D7E6C"/>
    <w:rsid w:val="008E0EC8"/>
    <w:rsid w:val="008E18F7"/>
    <w:rsid w:val="008E1941"/>
    <w:rsid w:val="008E1E10"/>
    <w:rsid w:val="008E25AD"/>
    <w:rsid w:val="008E291B"/>
    <w:rsid w:val="008E2CF5"/>
    <w:rsid w:val="008E4297"/>
    <w:rsid w:val="008E4F2F"/>
    <w:rsid w:val="008E59F7"/>
    <w:rsid w:val="008E74B0"/>
    <w:rsid w:val="008F2F6E"/>
    <w:rsid w:val="008F325E"/>
    <w:rsid w:val="008F3736"/>
    <w:rsid w:val="008F374F"/>
    <w:rsid w:val="008F50D8"/>
    <w:rsid w:val="009008A8"/>
    <w:rsid w:val="00902A38"/>
    <w:rsid w:val="009063B0"/>
    <w:rsid w:val="00907106"/>
    <w:rsid w:val="009107FD"/>
    <w:rsid w:val="0091137C"/>
    <w:rsid w:val="00911567"/>
    <w:rsid w:val="00914893"/>
    <w:rsid w:val="00917AAE"/>
    <w:rsid w:val="00922AEF"/>
    <w:rsid w:val="009251A9"/>
    <w:rsid w:val="00925A9E"/>
    <w:rsid w:val="0092602A"/>
    <w:rsid w:val="009264E8"/>
    <w:rsid w:val="0092666E"/>
    <w:rsid w:val="00927BDA"/>
    <w:rsid w:val="00930484"/>
    <w:rsid w:val="00930699"/>
    <w:rsid w:val="00931F69"/>
    <w:rsid w:val="0093291C"/>
    <w:rsid w:val="0093295A"/>
    <w:rsid w:val="00932C93"/>
    <w:rsid w:val="00934123"/>
    <w:rsid w:val="00936971"/>
    <w:rsid w:val="00941DDC"/>
    <w:rsid w:val="0094226E"/>
    <w:rsid w:val="00943BE4"/>
    <w:rsid w:val="00953657"/>
    <w:rsid w:val="00955457"/>
    <w:rsid w:val="00955774"/>
    <w:rsid w:val="009560B5"/>
    <w:rsid w:val="00966533"/>
    <w:rsid w:val="009674EE"/>
    <w:rsid w:val="009703D6"/>
    <w:rsid w:val="0097073B"/>
    <w:rsid w:val="0097181B"/>
    <w:rsid w:val="0097237F"/>
    <w:rsid w:val="009746E1"/>
    <w:rsid w:val="0097501B"/>
    <w:rsid w:val="00976528"/>
    <w:rsid w:val="00976DC5"/>
    <w:rsid w:val="00977CA4"/>
    <w:rsid w:val="009818C7"/>
    <w:rsid w:val="00982DD4"/>
    <w:rsid w:val="009838AC"/>
    <w:rsid w:val="009841E5"/>
    <w:rsid w:val="00984267"/>
    <w:rsid w:val="009842C5"/>
    <w:rsid w:val="0098479F"/>
    <w:rsid w:val="00984A8A"/>
    <w:rsid w:val="00984DEA"/>
    <w:rsid w:val="009852BF"/>
    <w:rsid w:val="009857B6"/>
    <w:rsid w:val="00985A8D"/>
    <w:rsid w:val="00986610"/>
    <w:rsid w:val="009877DC"/>
    <w:rsid w:val="009912FD"/>
    <w:rsid w:val="00991F96"/>
    <w:rsid w:val="00992E6C"/>
    <w:rsid w:val="00995038"/>
    <w:rsid w:val="00996F0A"/>
    <w:rsid w:val="0099737F"/>
    <w:rsid w:val="009A1D86"/>
    <w:rsid w:val="009A2309"/>
    <w:rsid w:val="009A56D0"/>
    <w:rsid w:val="009A5DB5"/>
    <w:rsid w:val="009A7186"/>
    <w:rsid w:val="009B049C"/>
    <w:rsid w:val="009B11C8"/>
    <w:rsid w:val="009B2BCF"/>
    <w:rsid w:val="009B2FB9"/>
    <w:rsid w:val="009B2FF8"/>
    <w:rsid w:val="009B41F0"/>
    <w:rsid w:val="009B5BA3"/>
    <w:rsid w:val="009B6A65"/>
    <w:rsid w:val="009B76E1"/>
    <w:rsid w:val="009C0131"/>
    <w:rsid w:val="009C1784"/>
    <w:rsid w:val="009C187C"/>
    <w:rsid w:val="009C21A7"/>
    <w:rsid w:val="009C2A26"/>
    <w:rsid w:val="009C2AB9"/>
    <w:rsid w:val="009C6410"/>
    <w:rsid w:val="009D0027"/>
    <w:rsid w:val="009D0655"/>
    <w:rsid w:val="009D06D6"/>
    <w:rsid w:val="009D4BB0"/>
    <w:rsid w:val="009E1E98"/>
    <w:rsid w:val="009E268E"/>
    <w:rsid w:val="009E3ABE"/>
    <w:rsid w:val="009E3C4B"/>
    <w:rsid w:val="009E7406"/>
    <w:rsid w:val="009F0637"/>
    <w:rsid w:val="009F409E"/>
    <w:rsid w:val="009F40BC"/>
    <w:rsid w:val="009F4EEC"/>
    <w:rsid w:val="009F529B"/>
    <w:rsid w:val="009F62A6"/>
    <w:rsid w:val="009F674F"/>
    <w:rsid w:val="009F799E"/>
    <w:rsid w:val="00A02020"/>
    <w:rsid w:val="00A056CB"/>
    <w:rsid w:val="00A05CB5"/>
    <w:rsid w:val="00A07A29"/>
    <w:rsid w:val="00A102D5"/>
    <w:rsid w:val="00A10FF1"/>
    <w:rsid w:val="00A13EEB"/>
    <w:rsid w:val="00A1506B"/>
    <w:rsid w:val="00A17CB2"/>
    <w:rsid w:val="00A17FEC"/>
    <w:rsid w:val="00A208ED"/>
    <w:rsid w:val="00A23052"/>
    <w:rsid w:val="00A23191"/>
    <w:rsid w:val="00A24F39"/>
    <w:rsid w:val="00A30CF0"/>
    <w:rsid w:val="00A312CE"/>
    <w:rsid w:val="00A319C0"/>
    <w:rsid w:val="00A31E95"/>
    <w:rsid w:val="00A33560"/>
    <w:rsid w:val="00A344D1"/>
    <w:rsid w:val="00A34561"/>
    <w:rsid w:val="00A364E4"/>
    <w:rsid w:val="00A371A5"/>
    <w:rsid w:val="00A40C4D"/>
    <w:rsid w:val="00A44CAD"/>
    <w:rsid w:val="00A457F6"/>
    <w:rsid w:val="00A47BDF"/>
    <w:rsid w:val="00A50F89"/>
    <w:rsid w:val="00A51CD7"/>
    <w:rsid w:val="00A52ADB"/>
    <w:rsid w:val="00A533E8"/>
    <w:rsid w:val="00A542D9"/>
    <w:rsid w:val="00A560D7"/>
    <w:rsid w:val="00A56A7D"/>
    <w:rsid w:val="00A56E64"/>
    <w:rsid w:val="00A575E9"/>
    <w:rsid w:val="00A576A7"/>
    <w:rsid w:val="00A624C3"/>
    <w:rsid w:val="00A62CE8"/>
    <w:rsid w:val="00A6641C"/>
    <w:rsid w:val="00A74365"/>
    <w:rsid w:val="00A767D2"/>
    <w:rsid w:val="00A77616"/>
    <w:rsid w:val="00A805DA"/>
    <w:rsid w:val="00A80FE5"/>
    <w:rsid w:val="00A811B4"/>
    <w:rsid w:val="00A87162"/>
    <w:rsid w:val="00A8757F"/>
    <w:rsid w:val="00A87CDE"/>
    <w:rsid w:val="00A91BDD"/>
    <w:rsid w:val="00A92BAF"/>
    <w:rsid w:val="00A94737"/>
    <w:rsid w:val="00A94BA3"/>
    <w:rsid w:val="00A95A2A"/>
    <w:rsid w:val="00A96CBA"/>
    <w:rsid w:val="00A97A53"/>
    <w:rsid w:val="00AA0243"/>
    <w:rsid w:val="00AA02C6"/>
    <w:rsid w:val="00AA5002"/>
    <w:rsid w:val="00AA544B"/>
    <w:rsid w:val="00AA6A53"/>
    <w:rsid w:val="00AB00F3"/>
    <w:rsid w:val="00AB1ACD"/>
    <w:rsid w:val="00AB1AFC"/>
    <w:rsid w:val="00AB1BF8"/>
    <w:rsid w:val="00AB277F"/>
    <w:rsid w:val="00AB4099"/>
    <w:rsid w:val="00AB449A"/>
    <w:rsid w:val="00AB4FCF"/>
    <w:rsid w:val="00AB5713"/>
    <w:rsid w:val="00AC012F"/>
    <w:rsid w:val="00AC0BB8"/>
    <w:rsid w:val="00AC33B9"/>
    <w:rsid w:val="00AC3C0F"/>
    <w:rsid w:val="00AC57F0"/>
    <w:rsid w:val="00AC67B3"/>
    <w:rsid w:val="00AC7434"/>
    <w:rsid w:val="00AC797B"/>
    <w:rsid w:val="00AD0E6B"/>
    <w:rsid w:val="00AD1091"/>
    <w:rsid w:val="00AD14F9"/>
    <w:rsid w:val="00AD35D6"/>
    <w:rsid w:val="00AD58C5"/>
    <w:rsid w:val="00AE36C4"/>
    <w:rsid w:val="00AE472C"/>
    <w:rsid w:val="00AE5375"/>
    <w:rsid w:val="00AE6CF8"/>
    <w:rsid w:val="00AF0A08"/>
    <w:rsid w:val="00AF4CAC"/>
    <w:rsid w:val="00B008BE"/>
    <w:rsid w:val="00B03D67"/>
    <w:rsid w:val="00B03E0D"/>
    <w:rsid w:val="00B054F8"/>
    <w:rsid w:val="00B07D8E"/>
    <w:rsid w:val="00B130FB"/>
    <w:rsid w:val="00B13264"/>
    <w:rsid w:val="00B14962"/>
    <w:rsid w:val="00B15443"/>
    <w:rsid w:val="00B20684"/>
    <w:rsid w:val="00B2219A"/>
    <w:rsid w:val="00B256BF"/>
    <w:rsid w:val="00B26938"/>
    <w:rsid w:val="00B27709"/>
    <w:rsid w:val="00B27B70"/>
    <w:rsid w:val="00B34067"/>
    <w:rsid w:val="00B3581B"/>
    <w:rsid w:val="00B36B81"/>
    <w:rsid w:val="00B36FEE"/>
    <w:rsid w:val="00B37C80"/>
    <w:rsid w:val="00B4039D"/>
    <w:rsid w:val="00B420DB"/>
    <w:rsid w:val="00B44F66"/>
    <w:rsid w:val="00B46483"/>
    <w:rsid w:val="00B474BA"/>
    <w:rsid w:val="00B5092B"/>
    <w:rsid w:val="00B5194E"/>
    <w:rsid w:val="00B51AF5"/>
    <w:rsid w:val="00B526BC"/>
    <w:rsid w:val="00B531FC"/>
    <w:rsid w:val="00B53939"/>
    <w:rsid w:val="00B54920"/>
    <w:rsid w:val="00B55347"/>
    <w:rsid w:val="00B56D41"/>
    <w:rsid w:val="00B57E5E"/>
    <w:rsid w:val="00B60101"/>
    <w:rsid w:val="00B61F37"/>
    <w:rsid w:val="00B62AE6"/>
    <w:rsid w:val="00B66DFD"/>
    <w:rsid w:val="00B750D3"/>
    <w:rsid w:val="00B7770F"/>
    <w:rsid w:val="00B77A89"/>
    <w:rsid w:val="00B77B27"/>
    <w:rsid w:val="00B8134E"/>
    <w:rsid w:val="00B81B55"/>
    <w:rsid w:val="00B81F2E"/>
    <w:rsid w:val="00B845D0"/>
    <w:rsid w:val="00B84613"/>
    <w:rsid w:val="00B87AF0"/>
    <w:rsid w:val="00B87D5A"/>
    <w:rsid w:val="00B9037B"/>
    <w:rsid w:val="00B910BD"/>
    <w:rsid w:val="00B93834"/>
    <w:rsid w:val="00B94BBB"/>
    <w:rsid w:val="00B96469"/>
    <w:rsid w:val="00BA0DA2"/>
    <w:rsid w:val="00BA2981"/>
    <w:rsid w:val="00BA3B3F"/>
    <w:rsid w:val="00BA42EE"/>
    <w:rsid w:val="00BA48F9"/>
    <w:rsid w:val="00BA5E4A"/>
    <w:rsid w:val="00BA673F"/>
    <w:rsid w:val="00BB0DCA"/>
    <w:rsid w:val="00BB1D2F"/>
    <w:rsid w:val="00BB2666"/>
    <w:rsid w:val="00BB3402"/>
    <w:rsid w:val="00BB343C"/>
    <w:rsid w:val="00BB6B80"/>
    <w:rsid w:val="00BB7873"/>
    <w:rsid w:val="00BC01D7"/>
    <w:rsid w:val="00BC14FD"/>
    <w:rsid w:val="00BC24F4"/>
    <w:rsid w:val="00BC3773"/>
    <w:rsid w:val="00BC381A"/>
    <w:rsid w:val="00BC5E44"/>
    <w:rsid w:val="00BC7C6A"/>
    <w:rsid w:val="00BD0962"/>
    <w:rsid w:val="00BD1EED"/>
    <w:rsid w:val="00BD2AB9"/>
    <w:rsid w:val="00BD58CA"/>
    <w:rsid w:val="00BD5DF9"/>
    <w:rsid w:val="00BD5F7C"/>
    <w:rsid w:val="00BD7DFB"/>
    <w:rsid w:val="00BE0406"/>
    <w:rsid w:val="00BE0C60"/>
    <w:rsid w:val="00BE3276"/>
    <w:rsid w:val="00BE51A3"/>
    <w:rsid w:val="00BE55AA"/>
    <w:rsid w:val="00BF03A4"/>
    <w:rsid w:val="00BF044D"/>
    <w:rsid w:val="00BF0DA2"/>
    <w:rsid w:val="00BF109C"/>
    <w:rsid w:val="00BF1404"/>
    <w:rsid w:val="00BF34FA"/>
    <w:rsid w:val="00BF44FB"/>
    <w:rsid w:val="00BF4546"/>
    <w:rsid w:val="00BF463B"/>
    <w:rsid w:val="00BF4D95"/>
    <w:rsid w:val="00BF5223"/>
    <w:rsid w:val="00C004B6"/>
    <w:rsid w:val="00C01C41"/>
    <w:rsid w:val="00C03931"/>
    <w:rsid w:val="00C047A7"/>
    <w:rsid w:val="00C05DE5"/>
    <w:rsid w:val="00C11654"/>
    <w:rsid w:val="00C130E7"/>
    <w:rsid w:val="00C14624"/>
    <w:rsid w:val="00C14B8B"/>
    <w:rsid w:val="00C150C2"/>
    <w:rsid w:val="00C17AFC"/>
    <w:rsid w:val="00C21A21"/>
    <w:rsid w:val="00C23E9F"/>
    <w:rsid w:val="00C27CE4"/>
    <w:rsid w:val="00C33027"/>
    <w:rsid w:val="00C34796"/>
    <w:rsid w:val="00C37667"/>
    <w:rsid w:val="00C435DB"/>
    <w:rsid w:val="00C4375F"/>
    <w:rsid w:val="00C44D73"/>
    <w:rsid w:val="00C47FA2"/>
    <w:rsid w:val="00C50B42"/>
    <w:rsid w:val="00C5124E"/>
    <w:rsid w:val="00C516FF"/>
    <w:rsid w:val="00C52BFA"/>
    <w:rsid w:val="00C52EAD"/>
    <w:rsid w:val="00C53D1D"/>
    <w:rsid w:val="00C53F26"/>
    <w:rsid w:val="00C540BC"/>
    <w:rsid w:val="00C5614C"/>
    <w:rsid w:val="00C56BA8"/>
    <w:rsid w:val="00C56FF1"/>
    <w:rsid w:val="00C57658"/>
    <w:rsid w:val="00C603FD"/>
    <w:rsid w:val="00C6162B"/>
    <w:rsid w:val="00C63C51"/>
    <w:rsid w:val="00C63D51"/>
    <w:rsid w:val="00C64F7D"/>
    <w:rsid w:val="00C658F8"/>
    <w:rsid w:val="00C6645E"/>
    <w:rsid w:val="00C67309"/>
    <w:rsid w:val="00C72C63"/>
    <w:rsid w:val="00C7614E"/>
    <w:rsid w:val="00C77BF1"/>
    <w:rsid w:val="00C80D60"/>
    <w:rsid w:val="00C80D7C"/>
    <w:rsid w:val="00C81579"/>
    <w:rsid w:val="00C82FBD"/>
    <w:rsid w:val="00C83C75"/>
    <w:rsid w:val="00C85267"/>
    <w:rsid w:val="00C8721B"/>
    <w:rsid w:val="00C9372C"/>
    <w:rsid w:val="00C945CF"/>
    <w:rsid w:val="00C9470E"/>
    <w:rsid w:val="00C95CEB"/>
    <w:rsid w:val="00C96D43"/>
    <w:rsid w:val="00C96D6D"/>
    <w:rsid w:val="00C97178"/>
    <w:rsid w:val="00C97184"/>
    <w:rsid w:val="00CA1054"/>
    <w:rsid w:val="00CA37F0"/>
    <w:rsid w:val="00CA63EB"/>
    <w:rsid w:val="00CA69F1"/>
    <w:rsid w:val="00CB1CF8"/>
    <w:rsid w:val="00CB40D2"/>
    <w:rsid w:val="00CB4647"/>
    <w:rsid w:val="00CB6991"/>
    <w:rsid w:val="00CB7955"/>
    <w:rsid w:val="00CC10A3"/>
    <w:rsid w:val="00CC6194"/>
    <w:rsid w:val="00CC6305"/>
    <w:rsid w:val="00CC78A5"/>
    <w:rsid w:val="00CD0516"/>
    <w:rsid w:val="00CD2C22"/>
    <w:rsid w:val="00CD3631"/>
    <w:rsid w:val="00CD756B"/>
    <w:rsid w:val="00CE214F"/>
    <w:rsid w:val="00CE6744"/>
    <w:rsid w:val="00CE734F"/>
    <w:rsid w:val="00CE7DC3"/>
    <w:rsid w:val="00CF112E"/>
    <w:rsid w:val="00CF143D"/>
    <w:rsid w:val="00CF240E"/>
    <w:rsid w:val="00CF2DCA"/>
    <w:rsid w:val="00CF3A12"/>
    <w:rsid w:val="00CF4D05"/>
    <w:rsid w:val="00CF5030"/>
    <w:rsid w:val="00CF5F4F"/>
    <w:rsid w:val="00D01085"/>
    <w:rsid w:val="00D02AF8"/>
    <w:rsid w:val="00D04CC1"/>
    <w:rsid w:val="00D05F5E"/>
    <w:rsid w:val="00D101EB"/>
    <w:rsid w:val="00D107FC"/>
    <w:rsid w:val="00D130F7"/>
    <w:rsid w:val="00D150FE"/>
    <w:rsid w:val="00D17547"/>
    <w:rsid w:val="00D218DC"/>
    <w:rsid w:val="00D24E56"/>
    <w:rsid w:val="00D25D79"/>
    <w:rsid w:val="00D25E59"/>
    <w:rsid w:val="00D31643"/>
    <w:rsid w:val="00D31AEB"/>
    <w:rsid w:val="00D32A28"/>
    <w:rsid w:val="00D32ECD"/>
    <w:rsid w:val="00D32EEB"/>
    <w:rsid w:val="00D361E4"/>
    <w:rsid w:val="00D42A5B"/>
    <w:rsid w:val="00D42A8F"/>
    <w:rsid w:val="00D43515"/>
    <w:rsid w:val="00D439F6"/>
    <w:rsid w:val="00D459C6"/>
    <w:rsid w:val="00D469F0"/>
    <w:rsid w:val="00D46EB8"/>
    <w:rsid w:val="00D47E63"/>
    <w:rsid w:val="00D504A8"/>
    <w:rsid w:val="00D50729"/>
    <w:rsid w:val="00D50C19"/>
    <w:rsid w:val="00D5379E"/>
    <w:rsid w:val="00D549CF"/>
    <w:rsid w:val="00D57BC4"/>
    <w:rsid w:val="00D57C51"/>
    <w:rsid w:val="00D62643"/>
    <w:rsid w:val="00D64C0F"/>
    <w:rsid w:val="00D656EE"/>
    <w:rsid w:val="00D72EFE"/>
    <w:rsid w:val="00D735C6"/>
    <w:rsid w:val="00D75A2D"/>
    <w:rsid w:val="00D76227"/>
    <w:rsid w:val="00D77DF1"/>
    <w:rsid w:val="00D8437F"/>
    <w:rsid w:val="00D86AFF"/>
    <w:rsid w:val="00D86E71"/>
    <w:rsid w:val="00D90F1E"/>
    <w:rsid w:val="00D917AF"/>
    <w:rsid w:val="00D950B5"/>
    <w:rsid w:val="00D95A44"/>
    <w:rsid w:val="00D95D16"/>
    <w:rsid w:val="00D97C76"/>
    <w:rsid w:val="00DA1208"/>
    <w:rsid w:val="00DA2758"/>
    <w:rsid w:val="00DA5D95"/>
    <w:rsid w:val="00DB02B4"/>
    <w:rsid w:val="00DB4288"/>
    <w:rsid w:val="00DB538D"/>
    <w:rsid w:val="00DC10F1"/>
    <w:rsid w:val="00DC11B5"/>
    <w:rsid w:val="00DC13DB"/>
    <w:rsid w:val="00DC145D"/>
    <w:rsid w:val="00DC1B4F"/>
    <w:rsid w:val="00DC275C"/>
    <w:rsid w:val="00DC4B0D"/>
    <w:rsid w:val="00DC77F2"/>
    <w:rsid w:val="00DC7FE1"/>
    <w:rsid w:val="00DD3F3F"/>
    <w:rsid w:val="00DD5572"/>
    <w:rsid w:val="00DD5DB8"/>
    <w:rsid w:val="00DD6DD4"/>
    <w:rsid w:val="00DE2526"/>
    <w:rsid w:val="00DE4E30"/>
    <w:rsid w:val="00DE5D80"/>
    <w:rsid w:val="00DF1146"/>
    <w:rsid w:val="00DF148F"/>
    <w:rsid w:val="00DF1585"/>
    <w:rsid w:val="00DF501C"/>
    <w:rsid w:val="00DF58CD"/>
    <w:rsid w:val="00DF65DE"/>
    <w:rsid w:val="00DF6EFF"/>
    <w:rsid w:val="00E019A5"/>
    <w:rsid w:val="00E02153"/>
    <w:rsid w:val="00E02EC8"/>
    <w:rsid w:val="00E037F5"/>
    <w:rsid w:val="00E04D5B"/>
    <w:rsid w:val="00E04ECB"/>
    <w:rsid w:val="00E05A09"/>
    <w:rsid w:val="00E06834"/>
    <w:rsid w:val="00E06CA1"/>
    <w:rsid w:val="00E071A9"/>
    <w:rsid w:val="00E074FF"/>
    <w:rsid w:val="00E07D37"/>
    <w:rsid w:val="00E13147"/>
    <w:rsid w:val="00E132D0"/>
    <w:rsid w:val="00E172B8"/>
    <w:rsid w:val="00E17FB4"/>
    <w:rsid w:val="00E20B04"/>
    <w:rsid w:val="00E20B75"/>
    <w:rsid w:val="00E214F2"/>
    <w:rsid w:val="00E21A1A"/>
    <w:rsid w:val="00E2371E"/>
    <w:rsid w:val="00E24BD7"/>
    <w:rsid w:val="00E250D0"/>
    <w:rsid w:val="00E255AA"/>
    <w:rsid w:val="00E256BF"/>
    <w:rsid w:val="00E26523"/>
    <w:rsid w:val="00E26809"/>
    <w:rsid w:val="00E31EE9"/>
    <w:rsid w:val="00E324CC"/>
    <w:rsid w:val="00E32B97"/>
    <w:rsid w:val="00E3412D"/>
    <w:rsid w:val="00E35207"/>
    <w:rsid w:val="00E3661D"/>
    <w:rsid w:val="00E36EB0"/>
    <w:rsid w:val="00E4013C"/>
    <w:rsid w:val="00E40939"/>
    <w:rsid w:val="00E41655"/>
    <w:rsid w:val="00E45C99"/>
    <w:rsid w:val="00E45F98"/>
    <w:rsid w:val="00E46800"/>
    <w:rsid w:val="00E57322"/>
    <w:rsid w:val="00E61521"/>
    <w:rsid w:val="00E61D68"/>
    <w:rsid w:val="00E628CB"/>
    <w:rsid w:val="00E62AD9"/>
    <w:rsid w:val="00E638C8"/>
    <w:rsid w:val="00E664A8"/>
    <w:rsid w:val="00E664FD"/>
    <w:rsid w:val="00E6770A"/>
    <w:rsid w:val="00E71609"/>
    <w:rsid w:val="00E74BB2"/>
    <w:rsid w:val="00E7509B"/>
    <w:rsid w:val="00E81C8D"/>
    <w:rsid w:val="00E85C9A"/>
    <w:rsid w:val="00E86590"/>
    <w:rsid w:val="00E87343"/>
    <w:rsid w:val="00E87F79"/>
    <w:rsid w:val="00E907FF"/>
    <w:rsid w:val="00E938E3"/>
    <w:rsid w:val="00EA044B"/>
    <w:rsid w:val="00EA42D1"/>
    <w:rsid w:val="00EA42EF"/>
    <w:rsid w:val="00EA6102"/>
    <w:rsid w:val="00EA6BEA"/>
    <w:rsid w:val="00EB1A54"/>
    <w:rsid w:val="00EB26D1"/>
    <w:rsid w:val="00EB2DD1"/>
    <w:rsid w:val="00EB3277"/>
    <w:rsid w:val="00EB6B37"/>
    <w:rsid w:val="00EC0225"/>
    <w:rsid w:val="00EC14A0"/>
    <w:rsid w:val="00EC29FE"/>
    <w:rsid w:val="00EC2DD4"/>
    <w:rsid w:val="00EC3C70"/>
    <w:rsid w:val="00EC588A"/>
    <w:rsid w:val="00EC6674"/>
    <w:rsid w:val="00ED1874"/>
    <w:rsid w:val="00ED2041"/>
    <w:rsid w:val="00ED2B04"/>
    <w:rsid w:val="00ED32C6"/>
    <w:rsid w:val="00ED34AB"/>
    <w:rsid w:val="00ED3A3D"/>
    <w:rsid w:val="00ED529F"/>
    <w:rsid w:val="00ED538A"/>
    <w:rsid w:val="00ED546C"/>
    <w:rsid w:val="00ED6FBC"/>
    <w:rsid w:val="00ED7559"/>
    <w:rsid w:val="00EE063D"/>
    <w:rsid w:val="00EE20F8"/>
    <w:rsid w:val="00EE215C"/>
    <w:rsid w:val="00EE2804"/>
    <w:rsid w:val="00EE2F16"/>
    <w:rsid w:val="00EE326B"/>
    <w:rsid w:val="00EE3861"/>
    <w:rsid w:val="00EE587E"/>
    <w:rsid w:val="00EE6804"/>
    <w:rsid w:val="00EF028E"/>
    <w:rsid w:val="00EF0B98"/>
    <w:rsid w:val="00EF269D"/>
    <w:rsid w:val="00EF2E73"/>
    <w:rsid w:val="00EF35CF"/>
    <w:rsid w:val="00EF50B9"/>
    <w:rsid w:val="00EF5454"/>
    <w:rsid w:val="00EF73BA"/>
    <w:rsid w:val="00EF7683"/>
    <w:rsid w:val="00EF7A2D"/>
    <w:rsid w:val="00F00EE7"/>
    <w:rsid w:val="00F0417C"/>
    <w:rsid w:val="00F04396"/>
    <w:rsid w:val="00F047E6"/>
    <w:rsid w:val="00F04F8D"/>
    <w:rsid w:val="00F05056"/>
    <w:rsid w:val="00F10431"/>
    <w:rsid w:val="00F10AD0"/>
    <w:rsid w:val="00F10B29"/>
    <w:rsid w:val="00F116CC"/>
    <w:rsid w:val="00F120DE"/>
    <w:rsid w:val="00F12BD1"/>
    <w:rsid w:val="00F1343F"/>
    <w:rsid w:val="00F15327"/>
    <w:rsid w:val="00F15B10"/>
    <w:rsid w:val="00F168CF"/>
    <w:rsid w:val="00F215CA"/>
    <w:rsid w:val="00F221C4"/>
    <w:rsid w:val="00F23038"/>
    <w:rsid w:val="00F2555C"/>
    <w:rsid w:val="00F31DF3"/>
    <w:rsid w:val="00F320A5"/>
    <w:rsid w:val="00F32E0D"/>
    <w:rsid w:val="00F33AE5"/>
    <w:rsid w:val="00F3597D"/>
    <w:rsid w:val="00F35D85"/>
    <w:rsid w:val="00F36A01"/>
    <w:rsid w:val="00F40C79"/>
    <w:rsid w:val="00F4103C"/>
    <w:rsid w:val="00F422D0"/>
    <w:rsid w:val="00F431AF"/>
    <w:rsid w:val="00F4367A"/>
    <w:rsid w:val="00F4376D"/>
    <w:rsid w:val="00F4462E"/>
    <w:rsid w:val="00F45399"/>
    <w:rsid w:val="00F465EA"/>
    <w:rsid w:val="00F47550"/>
    <w:rsid w:val="00F50142"/>
    <w:rsid w:val="00F517F7"/>
    <w:rsid w:val="00F528A5"/>
    <w:rsid w:val="00F54E7B"/>
    <w:rsid w:val="00F55093"/>
    <w:rsid w:val="00F55A88"/>
    <w:rsid w:val="00F5718C"/>
    <w:rsid w:val="00F61236"/>
    <w:rsid w:val="00F63E1D"/>
    <w:rsid w:val="00F65D26"/>
    <w:rsid w:val="00F665BC"/>
    <w:rsid w:val="00F708B5"/>
    <w:rsid w:val="00F725DF"/>
    <w:rsid w:val="00F74005"/>
    <w:rsid w:val="00F76009"/>
    <w:rsid w:val="00F76884"/>
    <w:rsid w:val="00F772BA"/>
    <w:rsid w:val="00F82734"/>
    <w:rsid w:val="00F83D24"/>
    <w:rsid w:val="00F83DD9"/>
    <w:rsid w:val="00F83F40"/>
    <w:rsid w:val="00F86D7D"/>
    <w:rsid w:val="00F91688"/>
    <w:rsid w:val="00F93EFD"/>
    <w:rsid w:val="00F93FCC"/>
    <w:rsid w:val="00F94DDF"/>
    <w:rsid w:val="00F969E5"/>
    <w:rsid w:val="00FA0C20"/>
    <w:rsid w:val="00FA1041"/>
    <w:rsid w:val="00FA117A"/>
    <w:rsid w:val="00FA1FE0"/>
    <w:rsid w:val="00FA22C3"/>
    <w:rsid w:val="00FA72D2"/>
    <w:rsid w:val="00FB386A"/>
    <w:rsid w:val="00FB5A5A"/>
    <w:rsid w:val="00FC0786"/>
    <w:rsid w:val="00FC0BB9"/>
    <w:rsid w:val="00FC2BA0"/>
    <w:rsid w:val="00FC49EF"/>
    <w:rsid w:val="00FD65B0"/>
    <w:rsid w:val="00FD6DA0"/>
    <w:rsid w:val="00FE3537"/>
    <w:rsid w:val="00FE36E2"/>
    <w:rsid w:val="00FF11AD"/>
    <w:rsid w:val="00FF175C"/>
    <w:rsid w:val="00FF2971"/>
    <w:rsid w:val="00FF2CC3"/>
    <w:rsid w:val="00FF34D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7FE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qFormat/>
    <w:locked/>
    <w:rsid w:val="006D0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luchili">
    <w:name w:val="luc_hili"/>
    <w:rsid w:val="004E0081"/>
  </w:style>
  <w:style w:type="character" w:customStyle="1" w:styleId="tabulatory">
    <w:name w:val="tabulatory"/>
    <w:rsid w:val="004E0081"/>
  </w:style>
  <w:style w:type="character" w:customStyle="1" w:styleId="CharStyle2">
    <w:name w:val="CharStyle2"/>
    <w:rsid w:val="001E53E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4">
    <w:name w:val="CharStyle4"/>
    <w:rsid w:val="001E53E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h2">
    <w:name w:val="h2"/>
    <w:rsid w:val="005835BC"/>
  </w:style>
  <w:style w:type="paragraph" w:customStyle="1" w:styleId="h1maintyt">
    <w:name w:val="h1.maintyt"/>
    <w:uiPriority w:val="99"/>
    <w:rsid w:val="005E5501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character" w:customStyle="1" w:styleId="highlight">
    <w:name w:val="highlight"/>
    <w:basedOn w:val="Domylnaczcionkaakapitu"/>
    <w:rsid w:val="00B8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56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9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7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5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6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12259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mailto:sekrtariat.dpp@mswia.gov.pl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subject/>
  <dc:creator/>
  <cp:keywords/>
  <cp:lastModifiedBy/>
  <cp:revision>1</cp:revision>
  <dcterms:created xsi:type="dcterms:W3CDTF">2024-01-30T08:54:00Z</dcterms:created>
  <dcterms:modified xsi:type="dcterms:W3CDTF">2024-01-30T13:20:00Z</dcterms:modified>
</cp:coreProperties>
</file>